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after="1560"/>
      </w:pPr>
    </w:p>
    <w:p>
      <w:pPr>
        <w:widowControl/>
        <w:spacing w:after="280"/>
        <w:jc w:val="center"/>
      </w:pPr>
      <w:r>
        <w:rPr>
          <w:rFonts w:ascii="Calibri" w:hAnsi="Calibri"/>
          <w:b/>
          <w:i w:val="0"/>
          <w:color w:val="20B8A6"/>
          <w:sz w:val="20"/>
        </w:rPr>
        <w:t>IF BRANDWATCH AND MELTWATER HAD A BABY</w:t>
      </w:r>
    </w:p>
    <w:p>
      <w:pPr>
        <w:widowControl/>
        <w:spacing w:before="0" w:after="160"/>
        <w:jc w:val="center"/>
      </w:pPr>
      <w:r>
        <w:rPr>
          <w:rFonts w:ascii="Calibri" w:hAnsi="Calibri"/>
          <w:b/>
          <w:i w:val="0"/>
          <w:color w:val="0B2545"/>
          <w:sz w:val="60"/>
        </w:rPr>
        <w:t>Mi‑Insite</w:t>
      </w:r>
    </w:p>
    <w:p>
      <w:pPr>
        <w:widowControl/>
        <w:spacing w:after="400"/>
        <w:jc w:val="center"/>
      </w:pPr>
      <w:r>
        <w:rPr>
          <w:rFonts w:ascii="Calibri" w:hAnsi="Calibri"/>
          <w:b w:val="0"/>
          <w:i w:val="0"/>
          <w:color w:val="2E74B5"/>
          <w:sz w:val="28"/>
        </w:rPr>
        <w:t>Product Design &amp; Functional Brief</w:t>
      </w:r>
    </w:p>
    <w:tbl>
      <w:tblPr>
        <w:tblW w:type="dxa" w:w="9360"/>
        <w:jc w:val="left"/>
        <w:tblLayout w:type="fixed"/>
        <w:tblLook w:firstColumn="1" w:firstRow="1" w:lastColumn="0" w:lastRow="0" w:noHBand="0" w:noVBand="1" w:val="04A0"/>
        <w:tblInd w:w="120" w:type="dxa"/>
        <w:tblBorders>
          <w:top w:val="single" w:sz="8" w:color="6657D9"/>
          <w:left w:val="single" w:sz="8" w:color="6657D9"/>
          <w:bottom w:val="single" w:sz="8" w:color="6657D9"/>
          <w:right w:val="single" w:sz="8" w:color="6657D9"/>
          <w:insideH w:val="single" w:sz="8" w:color="6657D9"/>
          <w:insideV w:val="single" w:sz="8" w:color="6657D9"/>
        </w:tblBorders>
      </w:tblPr>
      <w:tblGrid>
        <w:gridCol w:w="9360"/>
      </w:tblGrid>
      <w:tr>
        <w:tc>
          <w:tcPr>
            <w:tcW w:type="dxa" w:w="9360"/>
            <w:vAlign w:val="center"/>
            <w:tcMar>
              <w:top w:w="80" w:type="dxa"/>
              <w:start w:w="120" w:type="dxa"/>
              <w:bottom w:w="80" w:type="dxa"/>
              <w:end w:w="120" w:type="dxa"/>
            </w:tcMar>
            <w:shd w:fill="F0EEFB"/>
          </w:tcPr>
          <w:p>
            <w:pPr>
              <w:widowControl/>
              <w:spacing w:after="40"/>
            </w:pPr>
            <w:r>
              <w:rPr>
                <w:rFonts w:ascii="Calibri" w:hAnsi="Calibri"/>
                <w:b/>
                <w:i w:val="0"/>
                <w:color w:val="6657D9"/>
                <w:sz w:val="18"/>
              </w:rPr>
              <w:t>PRODUCT THESIS</w:t>
            </w:r>
          </w:p>
          <w:p>
            <w:pPr>
              <w:widowControl/>
              <w:spacing w:after="40"/>
            </w:pPr>
            <w:r>
              <w:rPr>
                <w:rFonts w:ascii="Calibri" w:hAnsi="Calibri"/>
                <w:b/>
                <w:i w:val="0"/>
                <w:color w:val="172B4D"/>
                <w:sz w:val="22"/>
              </w:rPr>
              <w:t>One intelligence cockpit that listens across earned and social media, coordinates the response, publishes content, preserves the evidence, and proves impact against KPIs.</w:t>
            </w:r>
          </w:p>
        </w:tc>
      </w:tr>
    </w:tbl>
    <w:p>
      <w:pPr>
        <w:widowControl/>
        <w:spacing w:after="0"/>
      </w:pPr>
    </w:p>
    <w:p>
      <w:pPr>
        <w:widowControl/>
        <w:spacing w:after="800"/>
      </w:pPr>
    </w:p>
    <w:p>
      <w:pPr>
        <w:widowControl/>
        <w:spacing w:line="336" w:lineRule="auto"/>
        <w:jc w:val="center"/>
      </w:pPr>
      <w:r>
        <w:rPr>
          <w:rFonts w:ascii="Calibri" w:hAnsi="Calibri"/>
          <w:b w:val="0"/>
          <w:i w:val="0"/>
          <w:color w:val="667085"/>
          <w:sz w:val="21"/>
        </w:rPr>
        <w:t>Prepared for Mind Interactive</w:t>
        <w:br/>
        <w:t>Working product name: Mi‑Insite</w:t>
        <w:br/>
        <w:t>Research current to 28 July 2026</w:t>
      </w:r>
    </w:p>
    <w:p>
      <w:pPr>
        <w:widowControl/>
        <w:spacing w:after="600"/>
      </w:pPr>
    </w:p>
    <w:p>
      <w:pPr>
        <w:widowControl/>
        <w:jc w:val="center"/>
      </w:pPr>
      <w:r>
        <w:rPr>
          <w:rFonts w:ascii="Calibri" w:hAnsi="Calibri"/>
          <w:b/>
          <w:i w:val="0"/>
          <w:color w:val="20B8A6"/>
          <w:sz w:val="18"/>
        </w:rPr>
        <w:t>CONFIDENTIAL • BUILD BRIEF • VERSION 1.0</w:t>
      </w:r>
    </w:p>
    <w:p>
      <w:pPr>
        <w:widowControl/>
      </w:pPr>
      <w:r>
        <w:br w:type="page"/>
      </w:r>
    </w:p>
    <w:p>
      <w:pPr>
        <w:pStyle w:val="Heading1"/>
        <w:widowControl/>
      </w:pPr>
      <w:r>
        <w:t>Document purpose</w:t>
      </w:r>
    </w:p>
    <w:p>
      <w:pPr>
        <w:widowControl/>
      </w:pPr>
      <w:r>
        <w:rPr>
          <w:rFonts w:ascii="Calibri" w:hAnsi="Calibri"/>
          <w:b w:val="0"/>
          <w:i w:val="0"/>
          <w:color w:val="172B4D"/>
          <w:sz w:val="22"/>
        </w:rPr>
        <w:t>This document converts a comparative study of Brandwatch and Meltwater into a build-ready concept for Mi‑Insite. It describes what the combined product should look like, how it should function, what data and integrations it requires, and how to phase delivery without promising data access that official APIs or content licences cannot support.</w:t>
      </w:r>
    </w:p>
    <w:tbl>
      <w:tblPr>
        <w:tblW w:type="dxa" w:w="9360"/>
        <w:jc w:val="left"/>
        <w:tblLayout w:type="fixed"/>
        <w:tblLook w:firstColumn="1" w:firstRow="1" w:lastColumn="0" w:lastRow="0" w:noHBand="0" w:noVBand="1" w:val="04A0"/>
        <w:tblInd w:w="120" w:type="dxa"/>
        <w:tblBorders>
          <w:top w:val="single" w:sz="8" w:color="20B8A6"/>
          <w:left w:val="single" w:sz="8" w:color="20B8A6"/>
          <w:bottom w:val="single" w:sz="8" w:color="20B8A6"/>
          <w:right w:val="single" w:sz="8" w:color="20B8A6"/>
          <w:insideH w:val="single" w:sz="8" w:color="20B8A6"/>
          <w:insideV w:val="single" w:sz="8" w:color="20B8A6"/>
        </w:tblBorders>
      </w:tblPr>
      <w:tblGrid>
        <w:gridCol w:w="9360"/>
      </w:tblGrid>
      <w:tr>
        <w:tc>
          <w:tcPr>
            <w:tcW w:type="dxa" w:w="9360"/>
            <w:vAlign w:val="center"/>
            <w:tcMar>
              <w:top w:w="80" w:type="dxa"/>
              <w:start w:w="120" w:type="dxa"/>
              <w:bottom w:w="80" w:type="dxa"/>
              <w:end w:w="120" w:type="dxa"/>
            </w:tcMar>
            <w:shd w:fill="E9F8F6"/>
          </w:tcPr>
          <w:p>
            <w:pPr>
              <w:widowControl/>
              <w:spacing w:after="40"/>
            </w:pPr>
            <w:r>
              <w:rPr>
                <w:rFonts w:ascii="Calibri" w:hAnsi="Calibri"/>
                <w:b/>
                <w:i w:val="0"/>
                <w:color w:val="20B8A6"/>
                <w:sz w:val="18"/>
              </w:rPr>
              <w:t>RECOMMENDED DIRECTION</w:t>
            </w:r>
          </w:p>
          <w:p>
            <w:pPr>
              <w:widowControl/>
              <w:spacing w:after="40"/>
            </w:pPr>
            <w:r>
              <w:rPr>
                <w:rFonts w:ascii="Calibri" w:hAnsi="Calibri"/>
                <w:b/>
                <w:i w:val="0"/>
                <w:color w:val="172B4D"/>
                <w:sz w:val="22"/>
              </w:rPr>
              <w:t>Take Brandwatch’s depth in consumer intelligence and day-to-day social operations; add Meltwater’s breadth in news, broadcast, podcasts, PR relations and executive reporting; then differentiate Mi‑Insite with evidence-grade archiving, KPI-to-action workflows and a South Africa-first operating model.</w:t>
            </w:r>
          </w:p>
        </w:tc>
      </w:tr>
    </w:tbl>
    <w:p>
      <w:pPr>
        <w:widowControl/>
        <w:spacing w:after="0"/>
      </w:pPr>
    </w:p>
    <w:p>
      <w:pPr>
        <w:pStyle w:val="Heading2"/>
        <w:widowControl/>
      </w:pPr>
      <w:r>
        <w:t>What this brief contains</w:t>
      </w:r>
    </w:p>
    <w:p>
      <w:pPr>
        <w:pStyle w:val="ListBullet"/>
        <w:widowControl/>
      </w:pPr>
      <w:r>
        <w:rPr>
          <w:rFonts w:ascii="Calibri" w:hAnsi="Calibri"/>
          <w:b w:val="0"/>
          <w:i w:val="0"/>
          <w:color w:val="172B4D"/>
          <w:sz w:val="22"/>
        </w:rPr>
        <w:t>A researched operating model for Brandwatch and Meltwater.</w:t>
      </w:r>
    </w:p>
    <w:p>
      <w:pPr>
        <w:pStyle w:val="ListBullet"/>
        <w:widowControl/>
      </w:pPr>
      <w:r>
        <w:rPr>
          <w:rFonts w:ascii="Calibri" w:hAnsi="Calibri"/>
          <w:b w:val="0"/>
          <w:i w:val="0"/>
          <w:color w:val="172B4D"/>
          <w:sz w:val="22"/>
        </w:rPr>
        <w:t>A capability-by-capability combination recommendation.</w:t>
      </w:r>
    </w:p>
    <w:p>
      <w:pPr>
        <w:pStyle w:val="ListBullet"/>
        <w:widowControl/>
      </w:pPr>
      <w:r>
        <w:rPr>
          <w:rFonts w:ascii="Calibri" w:hAnsi="Calibri"/>
          <w:b w:val="0"/>
          <w:i w:val="0"/>
          <w:color w:val="172B4D"/>
          <w:sz w:val="22"/>
        </w:rPr>
        <w:t>Target users, jobs-to-be-done and product principles.</w:t>
      </w:r>
    </w:p>
    <w:p>
      <w:pPr>
        <w:pStyle w:val="ListBullet"/>
        <w:widowControl/>
      </w:pPr>
      <w:r>
        <w:rPr>
          <w:rFonts w:ascii="Calibri" w:hAnsi="Calibri"/>
          <w:b w:val="0"/>
          <w:i w:val="0"/>
          <w:color w:val="172B4D"/>
          <w:sz w:val="22"/>
        </w:rPr>
        <w:t>Screen-level UX, modules, workflows and functional requirements.</w:t>
      </w:r>
    </w:p>
    <w:p>
      <w:pPr>
        <w:pStyle w:val="ListBullet"/>
        <w:widowControl/>
      </w:pPr>
      <w:r>
        <w:rPr>
          <w:rFonts w:ascii="Calibri" w:hAnsi="Calibri"/>
          <w:b w:val="0"/>
          <w:i w:val="0"/>
          <w:color w:val="172B4D"/>
          <w:sz w:val="22"/>
        </w:rPr>
        <w:t>A reference data model, architecture and integration strategy.</w:t>
      </w:r>
    </w:p>
    <w:p>
      <w:pPr>
        <w:pStyle w:val="ListBullet"/>
        <w:widowControl/>
      </w:pPr>
      <w:r>
        <w:rPr>
          <w:rFonts w:ascii="Calibri" w:hAnsi="Calibri"/>
          <w:b w:val="0"/>
          <w:i w:val="0"/>
          <w:color w:val="172B4D"/>
          <w:sz w:val="22"/>
        </w:rPr>
        <w:t>AI, analytics, security, POPIA, governance and archive requirements.</w:t>
      </w:r>
    </w:p>
    <w:p>
      <w:pPr>
        <w:pStyle w:val="ListBullet"/>
        <w:widowControl/>
      </w:pPr>
      <w:r>
        <w:rPr>
          <w:rFonts w:ascii="Calibri" w:hAnsi="Calibri"/>
          <w:b w:val="0"/>
          <w:i w:val="0"/>
          <w:color w:val="172B4D"/>
          <w:sz w:val="22"/>
        </w:rPr>
        <w:t>An MVP scope, delivery roadmap, acceptance criteria, risks and decisions still required.</w:t>
      </w:r>
    </w:p>
    <w:p>
      <w:pPr>
        <w:pStyle w:val="Heading2"/>
        <w:widowControl/>
      </w:pPr>
      <w:r>
        <w:t>Important feasibility boundary</w:t>
      </w:r>
    </w:p>
    <w:p>
      <w:pPr>
        <w:widowControl/>
      </w:pPr>
      <w:r>
        <w:rPr>
          <w:rFonts w:ascii="Calibri" w:hAnsi="Calibri"/>
          <w:b w:val="0"/>
          <w:i w:val="0"/>
          <w:color w:val="172B4D"/>
          <w:sz w:val="22"/>
        </w:rPr>
        <w:t>Brandwatch and Meltwater derive much of their value from years of commercial data agreements, proprietary crawlers, historical archives and source-specific permissions. Mi‑Insite can match the workflow and intelligence experience, but comprehensive global coverage requires licensed providers and approved platform access. The system should therefore separate the user experience from the underlying source contracts, allowing connectors to be added or replaced without redesigning the product.</w:t>
      </w:r>
    </w:p>
    <w:p>
      <w:pPr>
        <w:pStyle w:val="Heading2"/>
        <w:widowControl/>
      </w:pPr>
      <w:r>
        <w:t>Research basis</w:t>
      </w:r>
    </w:p>
    <w:p>
      <w:pPr>
        <w:widowControl/>
      </w:pPr>
      <w:r>
        <w:rPr>
          <w:rFonts w:ascii="Calibri" w:hAnsi="Calibri"/>
          <w:b w:val="0"/>
          <w:i w:val="0"/>
          <w:color w:val="172B4D"/>
          <w:sz w:val="22"/>
        </w:rPr>
        <w:t>The analysis prioritised official product pages and current help documentation, supported by current marketplace review pages for context. Product claims change by package, territory and platform permission; final procurement and technical scoping must confirm exact entitlements with each source provider.</w:t>
      </w:r>
    </w:p>
    <w:p>
      <w:pPr>
        <w:pStyle w:val="Heading1"/>
        <w:pageBreakBefore/>
        <w:widowControl/>
      </w:pPr>
      <w:r>
        <w:t>Executive answer: what does the baby look like?</w:t>
      </w:r>
    </w:p>
    <w:p>
      <w:pPr>
        <w:widowControl/>
      </w:pPr>
      <w:r>
        <w:rPr>
          <w:rFonts w:ascii="Calibri" w:hAnsi="Calibri"/>
          <w:b w:val="0"/>
          <w:i w:val="0"/>
          <w:color w:val="172B4D"/>
          <w:sz w:val="22"/>
        </w:rPr>
        <w:t>It looks like a calm, role-aware command centre rather than a wall of charts. A communications lead opens one workspace and sees what changed, why it matters, who owns the response, what is scheduled, whether service levels are being met, and how the organisation is performing against agreed KPIs.</w:t>
      </w:r>
    </w:p>
    <w:p>
      <w:pPr>
        <w:widowControl/>
      </w:pPr>
      <w:r>
        <w:drawing>
          <wp:inline xmlns:a="http://schemas.openxmlformats.org/drawingml/2006/main" xmlns:pic="http://schemas.openxmlformats.org/drawingml/2006/picture">
            <wp:extent cx="5897880" cy="2544419"/>
            <wp:docPr id="1" name="Picture 1" descr="Mi-Insite operating loop: collect, understand, decide, act and prove."/>
            <wp:cNvGraphicFramePr>
              <a:graphicFrameLocks noChangeAspect="1"/>
            </wp:cNvGraphicFramePr>
            <a:graphic>
              <a:graphicData uri="http://schemas.openxmlformats.org/drawingml/2006/picture">
                <pic:pic>
                  <pic:nvPicPr>
                    <pic:cNvPr id="0" name="operating_model.png"/>
                    <pic:cNvPicPr/>
                  </pic:nvPicPr>
                  <pic:blipFill>
                    <a:blip r:embed="rId11"/>
                    <a:stretch>
                      <a:fillRect/>
                    </a:stretch>
                  </pic:blipFill>
                  <pic:spPr>
                    <a:xfrm>
                      <a:off x="0" y="0"/>
                      <a:ext cx="5897880" cy="2544419"/>
                    </a:xfrm>
                    <a:prstGeom prst="rect"/>
                  </pic:spPr>
                </pic:pic>
              </a:graphicData>
            </a:graphic>
          </wp:inline>
        </w:drawing>
      </w:r>
    </w:p>
    <w:p>
      <w:pPr>
        <w:pStyle w:val="CaptionSmall"/>
        <w:widowControl/>
        <w:jc w:val="center"/>
      </w:pPr>
      <w:r>
        <w:t>Figure 1. The product loop connecting intelligence to action and proof.</w:t>
      </w:r>
    </w:p>
    <w:p>
      <w:pPr>
        <w:pStyle w:val="Heading2"/>
        <w:widowControl/>
      </w:pPr>
      <w:r>
        <w:t>The simplest product definition</w:t>
      </w:r>
    </w:p>
    <w:tbl>
      <w:tblPr>
        <w:tblW w:type="dxa" w:w="9360"/>
        <w:jc w:val="left"/>
        <w:tblLayout w:type="fixed"/>
        <w:tblLook w:firstColumn="1" w:firstRow="1" w:lastColumn="0" w:lastRow="0" w:noHBand="0" w:noVBand="1" w:val="04A0"/>
        <w:tblInd w:w="120" w:type="dxa"/>
        <w:tblBorders>
          <w:top w:val="single" w:sz="8" w:color="2E74B5"/>
          <w:left w:val="single" w:sz="8" w:color="2E74B5"/>
          <w:bottom w:val="single" w:sz="8" w:color="2E74B5"/>
          <w:right w:val="single" w:sz="8" w:color="2E74B5"/>
          <w:insideH w:val="single" w:sz="8" w:color="2E74B5"/>
          <w:insideV w:val="single" w:sz="8" w:color="2E74B5"/>
        </w:tblBorders>
      </w:tblPr>
      <w:tblGrid>
        <w:gridCol w:w="9360"/>
      </w:tblGrid>
      <w:tr>
        <w:tc>
          <w:tcPr>
            <w:tcW w:type="dxa" w:w="9360"/>
            <w:vAlign w:val="center"/>
            <w:tcMar>
              <w:top w:w="80" w:type="dxa"/>
              <w:start w:w="120" w:type="dxa"/>
              <w:bottom w:w="80" w:type="dxa"/>
              <w:end w:w="120" w:type="dxa"/>
            </w:tcMar>
            <w:shd w:fill="E8EEF5"/>
          </w:tcPr>
          <w:p>
            <w:pPr>
              <w:widowControl/>
              <w:spacing w:after="40"/>
            </w:pPr>
            <w:r>
              <w:rPr>
                <w:rFonts w:ascii="Calibri" w:hAnsi="Calibri"/>
                <w:b/>
                <w:i w:val="0"/>
                <w:color w:val="2E74B5"/>
                <w:sz w:val="18"/>
              </w:rPr>
              <w:t>MI‑INSITE IN ONE SENTENCE</w:t>
            </w:r>
          </w:p>
          <w:p>
            <w:pPr>
              <w:widowControl/>
              <w:spacing w:after="40"/>
            </w:pPr>
            <w:r>
              <w:rPr>
                <w:rFonts w:ascii="Calibri" w:hAnsi="Calibri"/>
                <w:b/>
                <w:i w:val="0"/>
                <w:color w:val="172B4D"/>
                <w:sz w:val="22"/>
              </w:rPr>
              <w:t>A multi-client media-intelligence and communications operations platform that collects signals, explains narratives, coordinates teams, publishes responses, archives records and reports outcomes.</w:t>
            </w:r>
          </w:p>
        </w:tc>
      </w:tr>
    </w:tbl>
    <w:p>
      <w:pPr>
        <w:widowControl/>
        <w:spacing w:after="0"/>
      </w:pPr>
    </w:p>
    <w:p>
      <w:pPr>
        <w:pStyle w:val="Heading2"/>
        <w:widowControl/>
      </w:pPr>
      <w:r>
        <w:t>The strongest inheritance from each parent</w:t>
      </w:r>
    </w:p>
    <w:tbl>
      <w:tblPr>
        <w:tblW w:type="dxa" w:w="9360"/>
        <w:jc w:val="left"/>
        <w:tblLayout w:type="fixed"/>
        <w:tblLook w:firstColumn="1" w:firstRow="1" w:lastColumn="0" w:lastRow="0" w:noHBand="0" w:noVBand="1" w:val="04A0"/>
        <w:tblInd w:w="120" w:type="dxa"/>
        <w:tblBorders>
          <w:top w:val="single" w:sz="5" w:color="D0D5DD"/>
          <w:left w:val="single" w:sz="5" w:color="D0D5DD"/>
          <w:bottom w:val="single" w:sz="5" w:color="D0D5DD"/>
          <w:right w:val="single" w:sz="5" w:color="D0D5DD"/>
          <w:insideH w:val="single" w:sz="5" w:color="D0D5DD"/>
          <w:insideV w:val="single" w:sz="5" w:color="D0D5DD"/>
        </w:tblBorders>
      </w:tblPr>
      <w:tblGrid>
        <w:gridCol w:w="1500"/>
        <w:gridCol w:w="3930"/>
        <w:gridCol w:w="3930"/>
      </w:tblGrid>
      <w:tr>
        <w:trPr>
          <w:tblHeader w:val="true"/>
        </w:trPr>
        <w:tc>
          <w:tcPr>
            <w:tcW w:type="dxa" w:w="1500"/>
            <w:vAlign w:val="center"/>
            <w:tcMar>
              <w:top w:w="80" w:type="dxa"/>
              <w:start w:w="120" w:type="dxa"/>
              <w:bottom w:w="80" w:type="dxa"/>
              <w:end w:w="120" w:type="dxa"/>
            </w:tcMar>
            <w:shd w:fill="F2F4F7"/>
          </w:tcPr>
          <w:p>
            <w:pPr>
              <w:widowControl/>
              <w:spacing w:after="0"/>
            </w:pPr>
            <w:r>
              <w:rPr>
                <w:rFonts w:ascii="Calibri" w:hAnsi="Calibri"/>
                <w:b/>
                <w:i w:val="0"/>
                <w:color w:val="0B2545"/>
                <w:sz w:val="18"/>
              </w:rPr>
              <w:t>Parent</w:t>
            </w:r>
          </w:p>
        </w:tc>
        <w:tc>
          <w:tcPr>
            <w:tcW w:type="dxa" w:w="3930"/>
            <w:vAlign w:val="center"/>
            <w:tcMar>
              <w:top w:w="80" w:type="dxa"/>
              <w:start w:w="120" w:type="dxa"/>
              <w:bottom w:w="80" w:type="dxa"/>
              <w:end w:w="120" w:type="dxa"/>
            </w:tcMar>
            <w:shd w:fill="F2F4F7"/>
          </w:tcPr>
          <w:p>
            <w:pPr>
              <w:widowControl/>
              <w:spacing w:after="0"/>
            </w:pPr>
            <w:r>
              <w:rPr>
                <w:rFonts w:ascii="Calibri" w:hAnsi="Calibri"/>
                <w:b/>
                <w:i w:val="0"/>
                <w:color w:val="0B2545"/>
                <w:sz w:val="18"/>
              </w:rPr>
              <w:t>What Mi‑Insite should inherit</w:t>
            </w:r>
          </w:p>
        </w:tc>
        <w:tc>
          <w:tcPr>
            <w:tcW w:type="dxa" w:w="3930"/>
            <w:vAlign w:val="center"/>
            <w:tcMar>
              <w:top w:w="80" w:type="dxa"/>
              <w:start w:w="120" w:type="dxa"/>
              <w:bottom w:w="80" w:type="dxa"/>
              <w:end w:w="120" w:type="dxa"/>
            </w:tcMar>
            <w:shd w:fill="F2F4F7"/>
          </w:tcPr>
          <w:p>
            <w:pPr>
              <w:widowControl/>
              <w:spacing w:after="0"/>
            </w:pPr>
            <w:r>
              <w:rPr>
                <w:rFonts w:ascii="Calibri" w:hAnsi="Calibri"/>
                <w:b/>
                <w:i w:val="0"/>
                <w:color w:val="0B2545"/>
                <w:sz w:val="18"/>
              </w:rPr>
              <w:t>What to improve</w:t>
            </w:r>
          </w:p>
        </w:tc>
      </w:tr>
      <w:tr>
        <w:tc>
          <w:tcPr>
            <w:tcW w:type="dxa" w:w="1500"/>
          </w:tcPr>
          <w:p>
            <w:pPr>
              <w:widowControl/>
              <w:spacing w:after="0"/>
            </w:pPr>
            <w:r>
              <w:rPr>
                <w:rFonts w:ascii="Calibri" w:hAnsi="Calibri"/>
                <w:b w:val="0"/>
                <w:i w:val="0"/>
                <w:color w:val="172B4D"/>
                <w:sz w:val="18"/>
              </w:rPr>
              <w:t>Brandwatch</w:t>
            </w:r>
          </w:p>
        </w:tc>
        <w:tc>
          <w:tcPr>
            <w:tcW w:type="dxa" w:w="3930"/>
          </w:tcPr>
          <w:p>
            <w:pPr>
              <w:widowControl/>
              <w:spacing w:after="0"/>
            </w:pPr>
            <w:r>
              <w:rPr>
                <w:rFonts w:ascii="Calibri" w:hAnsi="Calibri"/>
                <w:b w:val="0"/>
                <w:i w:val="0"/>
                <w:color w:val="172B4D"/>
                <w:sz w:val="18"/>
              </w:rPr>
              <w:t>Flexible social and consumer research; powerful query/segmentation; unified engagement; publishing approvals; audience context; competitive benchmarking.</w:t>
            </w:r>
          </w:p>
        </w:tc>
        <w:tc>
          <w:tcPr>
            <w:tcW w:type="dxa" w:w="3930"/>
          </w:tcPr>
          <w:p>
            <w:pPr>
              <w:widowControl/>
              <w:spacing w:after="0"/>
            </w:pPr>
            <w:r>
              <w:rPr>
                <w:rFonts w:ascii="Calibri" w:hAnsi="Calibri"/>
                <w:b w:val="0"/>
                <w:i w:val="0"/>
                <w:color w:val="172B4D"/>
                <w:sz w:val="18"/>
              </w:rPr>
              <w:t>Reduce complexity, make setup guided, connect insight directly to a task or response, and make archive/compliance first-class.</w:t>
            </w:r>
          </w:p>
        </w:tc>
      </w:tr>
      <w:tr>
        <w:tc>
          <w:tcPr>
            <w:tcW w:type="dxa" w:w="1500"/>
          </w:tcPr>
          <w:p>
            <w:pPr>
              <w:widowControl/>
              <w:spacing w:after="0"/>
            </w:pPr>
            <w:r>
              <w:rPr>
                <w:rFonts w:ascii="Calibri" w:hAnsi="Calibri"/>
                <w:b w:val="0"/>
                <w:i w:val="0"/>
                <w:color w:val="172B4D"/>
                <w:sz w:val="18"/>
              </w:rPr>
              <w:t>Meltwater</w:t>
            </w:r>
          </w:p>
        </w:tc>
        <w:tc>
          <w:tcPr>
            <w:tcW w:type="dxa" w:w="3930"/>
          </w:tcPr>
          <w:p>
            <w:pPr>
              <w:widowControl/>
              <w:spacing w:after="0"/>
            </w:pPr>
            <w:r>
              <w:rPr>
                <w:rFonts w:ascii="Calibri" w:hAnsi="Calibri"/>
                <w:b w:val="0"/>
                <w:i w:val="0"/>
                <w:color w:val="172B4D"/>
                <w:sz w:val="18"/>
              </w:rPr>
              <w:t>Broad earned-media coverage; real-time alerts; PR reporting; journalist/media database; executive briefings; unified social + news context.</w:t>
            </w:r>
          </w:p>
        </w:tc>
        <w:tc>
          <w:tcPr>
            <w:tcW w:type="dxa" w:w="3930"/>
          </w:tcPr>
          <w:p>
            <w:pPr>
              <w:widowControl/>
              <w:spacing w:after="0"/>
            </w:pPr>
            <w:r>
              <w:rPr>
                <w:rFonts w:ascii="Calibri" w:hAnsi="Calibri"/>
                <w:b w:val="0"/>
                <w:i w:val="0"/>
                <w:color w:val="172B4D"/>
                <w:sz w:val="18"/>
              </w:rPr>
              <w:t>Make reports explain decisions, not just coverage; provide transparent source/metric provenance; offer cleaner cross-team workflow.</w:t>
            </w:r>
          </w:p>
        </w:tc>
      </w:tr>
      <w:tr>
        <w:tc>
          <w:tcPr>
            <w:tcW w:type="dxa" w:w="1500"/>
          </w:tcPr>
          <w:p>
            <w:pPr>
              <w:widowControl/>
              <w:spacing w:after="0"/>
            </w:pPr>
            <w:r>
              <w:rPr>
                <w:rFonts w:ascii="Calibri" w:hAnsi="Calibri"/>
                <w:b w:val="0"/>
                <w:i w:val="0"/>
                <w:color w:val="172B4D"/>
                <w:sz w:val="18"/>
              </w:rPr>
              <w:t>Mi‑Insite</w:t>
            </w:r>
          </w:p>
        </w:tc>
        <w:tc>
          <w:tcPr>
            <w:tcW w:type="dxa" w:w="3930"/>
          </w:tcPr>
          <w:p>
            <w:pPr>
              <w:widowControl/>
              <w:spacing w:after="0"/>
            </w:pPr>
            <w:r>
              <w:rPr>
                <w:rFonts w:ascii="Calibri" w:hAnsi="Calibri"/>
                <w:b w:val="0"/>
                <w:i w:val="0"/>
                <w:color w:val="172B4D"/>
                <w:sz w:val="18"/>
              </w:rPr>
              <w:t>One evidence trail from source mention to classification, response, owner, published output, KPI movement and final report.</w:t>
            </w:r>
          </w:p>
        </w:tc>
        <w:tc>
          <w:tcPr>
            <w:tcW w:type="dxa" w:w="3930"/>
          </w:tcPr>
          <w:p>
            <w:pPr>
              <w:widowControl/>
              <w:spacing w:after="0"/>
            </w:pPr>
            <w:r>
              <w:rPr>
                <w:rFonts w:ascii="Calibri" w:hAnsi="Calibri"/>
                <w:b w:val="0"/>
                <w:i w:val="0"/>
                <w:color w:val="172B4D"/>
                <w:sz w:val="18"/>
              </w:rPr>
              <w:t>Differentiate through South African source depth, local language models, POPIA-aware retention, agency multi-tenancy and practical pricing.</w:t>
            </w:r>
          </w:p>
        </w:tc>
      </w:tr>
    </w:tbl>
    <w:p>
      <w:pPr>
        <w:widowControl/>
        <w:spacing w:after="0"/>
      </w:pPr>
    </w:p>
    <w:p>
      <w:pPr>
        <w:pStyle w:val="Heading1"/>
        <w:pageBreakBefore/>
        <w:widowControl/>
      </w:pPr>
      <w:r>
        <w:t>1. How Brandwatch operates</w:t>
      </w:r>
    </w:p>
    <w:p>
      <w:pPr>
        <w:widowControl/>
      </w:pPr>
      <w:r>
        <w:rPr>
          <w:rFonts w:ascii="Calibri" w:hAnsi="Calibri"/>
          <w:b w:val="0"/>
          <w:i w:val="0"/>
          <w:color w:val="172B4D"/>
          <w:sz w:val="22"/>
        </w:rPr>
        <w:t>Brandwatch is best understood as two connected engines: Consumer Intelligence for discovering and analysing public conversations, and Social Media Management for operating owned social accounts. Its core pattern is search → segment → analyse → act.</w:t>
      </w:r>
    </w:p>
    <w:p>
      <w:pPr>
        <w:pStyle w:val="Heading2"/>
        <w:widowControl/>
      </w:pPr>
      <w:r>
        <w:t>1.1 Consumer Intelligence engine</w:t>
      </w:r>
    </w:p>
    <w:p>
      <w:pPr>
        <w:pStyle w:val="ListNumber"/>
        <w:widowControl/>
        <w:numPr>
          <w:ilvl w:val="0"/>
          <w:numId w:val="10"/>
        </w:numPr>
      </w:pPr>
      <w:r>
        <w:rPr>
          <w:rFonts w:ascii="Calibri" w:hAnsi="Calibri"/>
          <w:b w:val="0"/>
          <w:i w:val="0"/>
          <w:color w:val="172B4D"/>
          <w:sz w:val="22"/>
        </w:rPr>
        <w:t>Collect: users build keyword/Boolean queries or AI-assisted searches across a large archive of social, news, blogs, forums, reviews and other online sources; first-party data can also be uploaded.</w:t>
      </w:r>
    </w:p>
    <w:p>
      <w:pPr>
        <w:pStyle w:val="ListNumber"/>
        <w:widowControl/>
        <w:numPr>
          <w:ilvl w:val="0"/>
          <w:numId w:val="10"/>
        </w:numPr>
      </w:pPr>
      <w:r>
        <w:rPr>
          <w:rFonts w:ascii="Calibri" w:hAnsi="Calibri"/>
          <w:b w:val="0"/>
          <w:i w:val="0"/>
          <w:color w:val="172B4D"/>
          <w:sz w:val="22"/>
        </w:rPr>
        <w:t>Segment: rules, filters and machine-learning classifiers group mentions by market, topic, complaint type, product, audience, campaign or custom taxonomy.</w:t>
      </w:r>
    </w:p>
    <w:p>
      <w:pPr>
        <w:pStyle w:val="ListNumber"/>
        <w:widowControl/>
        <w:numPr>
          <w:ilvl w:val="0"/>
          <w:numId w:val="10"/>
        </w:numPr>
      </w:pPr>
      <w:r>
        <w:rPr>
          <w:rFonts w:ascii="Calibri" w:hAnsi="Calibri"/>
          <w:b w:val="0"/>
          <w:i w:val="0"/>
          <w:color w:val="172B4D"/>
          <w:sz w:val="22"/>
        </w:rPr>
        <w:t>Analyse: dashboards expose volume, reach, sentiment, emotion, topics, images/logos, authors, locations, share of voice and trends. AI summarises changes and helps identify drivers.</w:t>
      </w:r>
    </w:p>
    <w:p>
      <w:pPr>
        <w:pStyle w:val="ListNumber"/>
        <w:widowControl/>
        <w:numPr>
          <w:ilvl w:val="0"/>
          <w:numId w:val="10"/>
        </w:numPr>
      </w:pPr>
      <w:r>
        <w:rPr>
          <w:rFonts w:ascii="Calibri" w:hAnsi="Calibri"/>
          <w:b w:val="0"/>
          <w:i w:val="0"/>
          <w:color w:val="172B4D"/>
          <w:sz w:val="22"/>
        </w:rPr>
        <w:t>Distribute: alerts, exports, live dashboards and reports carry insights to stakeholders; APIs allow external use.</w:t>
      </w:r>
    </w:p>
    <w:p>
      <w:pPr>
        <w:widowControl/>
      </w:pPr>
      <w:r>
        <w:rPr>
          <w:rFonts w:ascii="Calibri" w:hAnsi="Calibri"/>
          <w:b w:val="0"/>
          <w:i w:val="0"/>
          <w:color w:val="172B4D"/>
          <w:sz w:val="22"/>
        </w:rPr>
        <w:t>Brandwatch publicly positions Consumer Research around access to more than 100 million online sources and a large historical archive. Its value is not merely the number of records: it is the combination of query flexibility, enrichment, segmentation, custom classifiers and configurable visual analysis.</w:t>
      </w:r>
    </w:p>
    <w:p>
      <w:pPr>
        <w:pStyle w:val="Heading2"/>
        <w:widowControl/>
      </w:pPr>
      <w:r>
        <w:t>1.2 Social Media Management engine</w:t>
      </w:r>
    </w:p>
    <w:tbl>
      <w:tblPr>
        <w:tblW w:type="dxa" w:w="9360"/>
        <w:jc w:val="left"/>
        <w:tblLayout w:type="fixed"/>
        <w:tblLook w:firstColumn="1" w:firstRow="1" w:lastColumn="0" w:lastRow="0" w:noHBand="0" w:noVBand="1" w:val="04A0"/>
        <w:tblInd w:w="120" w:type="dxa"/>
        <w:tblBorders>
          <w:top w:val="single" w:sz="5" w:color="D0D5DD"/>
          <w:left w:val="single" w:sz="5" w:color="D0D5DD"/>
          <w:bottom w:val="single" w:sz="5" w:color="D0D5DD"/>
          <w:right w:val="single" w:sz="5" w:color="D0D5DD"/>
          <w:insideH w:val="single" w:sz="5" w:color="D0D5DD"/>
          <w:insideV w:val="single" w:sz="5" w:color="D0D5DD"/>
        </w:tblBorders>
      </w:tblPr>
      <w:tblGrid>
        <w:gridCol w:w="1250"/>
        <w:gridCol w:w="2750"/>
        <w:gridCol w:w="5360"/>
      </w:tblGrid>
      <w:tr>
        <w:trPr>
          <w:tblHeader w:val="true"/>
        </w:trPr>
        <w:tc>
          <w:tcPr>
            <w:tcW w:type="dxa" w:w="1250"/>
            <w:vAlign w:val="center"/>
            <w:tcMar>
              <w:top w:w="80" w:type="dxa"/>
              <w:start w:w="120" w:type="dxa"/>
              <w:bottom w:w="80" w:type="dxa"/>
              <w:end w:w="120" w:type="dxa"/>
            </w:tcMar>
            <w:shd w:fill="F2F4F7"/>
          </w:tcPr>
          <w:p>
            <w:pPr>
              <w:widowControl/>
              <w:spacing w:after="0"/>
            </w:pPr>
            <w:r>
              <w:rPr>
                <w:rFonts w:ascii="Calibri" w:hAnsi="Calibri"/>
                <w:b/>
                <w:i w:val="0"/>
                <w:color w:val="0B2545"/>
                <w:sz w:val="18"/>
              </w:rPr>
              <w:t>Module</w:t>
            </w:r>
          </w:p>
        </w:tc>
        <w:tc>
          <w:tcPr>
            <w:tcW w:type="dxa" w:w="2750"/>
            <w:vAlign w:val="center"/>
            <w:tcMar>
              <w:top w:w="80" w:type="dxa"/>
              <w:start w:w="120" w:type="dxa"/>
              <w:bottom w:w="80" w:type="dxa"/>
              <w:end w:w="120" w:type="dxa"/>
            </w:tcMar>
            <w:shd w:fill="F2F4F7"/>
          </w:tcPr>
          <w:p>
            <w:pPr>
              <w:widowControl/>
              <w:spacing w:after="0"/>
            </w:pPr>
            <w:r>
              <w:rPr>
                <w:rFonts w:ascii="Calibri" w:hAnsi="Calibri"/>
                <w:b/>
                <w:i w:val="0"/>
                <w:color w:val="0B2545"/>
                <w:sz w:val="18"/>
              </w:rPr>
              <w:t>Operational role</w:t>
            </w:r>
          </w:p>
        </w:tc>
        <w:tc>
          <w:tcPr>
            <w:tcW w:type="dxa" w:w="5360"/>
            <w:vAlign w:val="center"/>
            <w:tcMar>
              <w:top w:w="80" w:type="dxa"/>
              <w:start w:w="120" w:type="dxa"/>
              <w:bottom w:w="80" w:type="dxa"/>
              <w:end w:w="120" w:type="dxa"/>
            </w:tcMar>
            <w:shd w:fill="F2F4F7"/>
          </w:tcPr>
          <w:p>
            <w:pPr>
              <w:widowControl/>
              <w:spacing w:after="0"/>
            </w:pPr>
            <w:r>
              <w:rPr>
                <w:rFonts w:ascii="Calibri" w:hAnsi="Calibri"/>
                <w:b/>
                <w:i w:val="0"/>
                <w:color w:val="0B2545"/>
                <w:sz w:val="18"/>
              </w:rPr>
              <w:t>Notable mechanics</w:t>
            </w:r>
          </w:p>
        </w:tc>
      </w:tr>
      <w:tr>
        <w:tc>
          <w:tcPr>
            <w:tcW w:type="dxa" w:w="1250"/>
          </w:tcPr>
          <w:p>
            <w:pPr>
              <w:widowControl/>
              <w:spacing w:after="0"/>
            </w:pPr>
            <w:r>
              <w:rPr>
                <w:rFonts w:ascii="Calibri" w:hAnsi="Calibri"/>
                <w:b w:val="0"/>
                <w:i w:val="0"/>
                <w:color w:val="172B4D"/>
                <w:sz w:val="18"/>
              </w:rPr>
              <w:t>Publish</w:t>
            </w:r>
          </w:p>
        </w:tc>
        <w:tc>
          <w:tcPr>
            <w:tcW w:type="dxa" w:w="2750"/>
          </w:tcPr>
          <w:p>
            <w:pPr>
              <w:widowControl/>
              <w:spacing w:after="0"/>
            </w:pPr>
            <w:r>
              <w:rPr>
                <w:rFonts w:ascii="Calibri" w:hAnsi="Calibri"/>
                <w:b w:val="0"/>
                <w:i w:val="0"/>
                <w:color w:val="172B4D"/>
                <w:sz w:val="18"/>
              </w:rPr>
              <w:t>Plan and publish owned content.</w:t>
            </w:r>
          </w:p>
        </w:tc>
        <w:tc>
          <w:tcPr>
            <w:tcW w:type="dxa" w:w="5360"/>
          </w:tcPr>
          <w:p>
            <w:pPr>
              <w:widowControl/>
              <w:spacing w:after="0"/>
            </w:pPr>
            <w:r>
              <w:rPr>
                <w:rFonts w:ascii="Calibri" w:hAnsi="Calibri"/>
                <w:b w:val="0"/>
                <w:i w:val="0"/>
                <w:color w:val="172B4D"/>
                <w:sz w:val="18"/>
              </w:rPr>
              <w:t>Multi-channel composer, content calendar, asset pool, campaigns, labels, notes and approval before scheduling.</w:t>
            </w:r>
          </w:p>
        </w:tc>
      </w:tr>
      <w:tr>
        <w:tc>
          <w:tcPr>
            <w:tcW w:type="dxa" w:w="1250"/>
          </w:tcPr>
          <w:p>
            <w:pPr>
              <w:widowControl/>
              <w:spacing w:after="0"/>
            </w:pPr>
            <w:r>
              <w:rPr>
                <w:rFonts w:ascii="Calibri" w:hAnsi="Calibri"/>
                <w:b w:val="0"/>
                <w:i w:val="0"/>
                <w:color w:val="172B4D"/>
                <w:sz w:val="18"/>
              </w:rPr>
              <w:t>Engage</w:t>
            </w:r>
          </w:p>
        </w:tc>
        <w:tc>
          <w:tcPr>
            <w:tcW w:type="dxa" w:w="2750"/>
          </w:tcPr>
          <w:p>
            <w:pPr>
              <w:widowControl/>
              <w:spacing w:after="0"/>
            </w:pPr>
            <w:r>
              <w:rPr>
                <w:rFonts w:ascii="Calibri" w:hAnsi="Calibri"/>
                <w:b w:val="0"/>
                <w:i w:val="0"/>
                <w:color w:val="172B4D"/>
                <w:sz w:val="18"/>
              </w:rPr>
              <w:t>Manage inbound conversations.</w:t>
            </w:r>
          </w:p>
        </w:tc>
        <w:tc>
          <w:tcPr>
            <w:tcW w:type="dxa" w:w="5360"/>
          </w:tcPr>
          <w:p>
            <w:pPr>
              <w:widowControl/>
              <w:spacing w:after="0"/>
            </w:pPr>
            <w:r>
              <w:rPr>
                <w:rFonts w:ascii="Calibri" w:hAnsi="Calibri"/>
                <w:b w:val="0"/>
                <w:i w:val="0"/>
                <w:color w:val="172B4D"/>
                <w:sz w:val="18"/>
              </w:rPr>
              <w:t>Feed-based inbox for comments and direct messages; filters, assignment, notes, labels, templates and automated messages; saved listening searches can feed Engage.</w:t>
            </w:r>
          </w:p>
        </w:tc>
      </w:tr>
      <w:tr>
        <w:tc>
          <w:tcPr>
            <w:tcW w:type="dxa" w:w="1250"/>
          </w:tcPr>
          <w:p>
            <w:pPr>
              <w:widowControl/>
              <w:spacing w:after="0"/>
            </w:pPr>
            <w:r>
              <w:rPr>
                <w:rFonts w:ascii="Calibri" w:hAnsi="Calibri"/>
                <w:b w:val="0"/>
                <w:i w:val="0"/>
                <w:color w:val="172B4D"/>
                <w:sz w:val="18"/>
              </w:rPr>
              <w:t>Listen</w:t>
            </w:r>
          </w:p>
        </w:tc>
        <w:tc>
          <w:tcPr>
            <w:tcW w:type="dxa" w:w="2750"/>
          </w:tcPr>
          <w:p>
            <w:pPr>
              <w:widowControl/>
              <w:spacing w:after="0"/>
            </w:pPr>
            <w:r>
              <w:rPr>
                <w:rFonts w:ascii="Calibri" w:hAnsi="Calibri"/>
                <w:b w:val="0"/>
                <w:i w:val="0"/>
                <w:color w:val="172B4D"/>
                <w:sz w:val="18"/>
              </w:rPr>
              <w:t>Monitor brands, campaigns, competitors and topics.</w:t>
            </w:r>
          </w:p>
        </w:tc>
        <w:tc>
          <w:tcPr>
            <w:tcW w:type="dxa" w:w="5360"/>
          </w:tcPr>
          <w:p>
            <w:pPr>
              <w:widowControl/>
              <w:spacing w:after="0"/>
            </w:pPr>
            <w:r>
              <w:rPr>
                <w:rFonts w:ascii="Calibri" w:hAnsi="Calibri"/>
                <w:b w:val="0"/>
                <w:i w:val="0"/>
                <w:color w:val="172B4D"/>
                <w:sz w:val="18"/>
              </w:rPr>
              <w:t>Search queries, sentiment and alerts; converts public mentions into an operational feed.</w:t>
            </w:r>
          </w:p>
        </w:tc>
      </w:tr>
      <w:tr>
        <w:tc>
          <w:tcPr>
            <w:tcW w:type="dxa" w:w="1250"/>
          </w:tcPr>
          <w:p>
            <w:pPr>
              <w:widowControl/>
              <w:spacing w:after="0"/>
            </w:pPr>
            <w:r>
              <w:rPr>
                <w:rFonts w:ascii="Calibri" w:hAnsi="Calibri"/>
                <w:b w:val="0"/>
                <w:i w:val="0"/>
                <w:color w:val="172B4D"/>
                <w:sz w:val="18"/>
              </w:rPr>
              <w:t>Audience</w:t>
            </w:r>
          </w:p>
        </w:tc>
        <w:tc>
          <w:tcPr>
            <w:tcW w:type="dxa" w:w="2750"/>
          </w:tcPr>
          <w:p>
            <w:pPr>
              <w:widowControl/>
              <w:spacing w:after="0"/>
            </w:pPr>
            <w:r>
              <w:rPr>
                <w:rFonts w:ascii="Calibri" w:hAnsi="Calibri"/>
                <w:b w:val="0"/>
                <w:i w:val="0"/>
                <w:color w:val="172B4D"/>
                <w:sz w:val="18"/>
              </w:rPr>
              <w:t>Build context around people interacting with owned channels.</w:t>
            </w:r>
          </w:p>
        </w:tc>
        <w:tc>
          <w:tcPr>
            <w:tcW w:type="dxa" w:w="5360"/>
          </w:tcPr>
          <w:p>
            <w:pPr>
              <w:widowControl/>
              <w:spacing w:after="0"/>
            </w:pPr>
            <w:r>
              <w:rPr>
                <w:rFonts w:ascii="Calibri" w:hAnsi="Calibri"/>
                <w:b w:val="0"/>
                <w:i w:val="0"/>
                <w:color w:val="172B4D"/>
                <w:sz w:val="18"/>
              </w:rPr>
              <w:t>Profile cards, interaction history, labels, merges and imported customer data.</w:t>
            </w:r>
          </w:p>
        </w:tc>
      </w:tr>
      <w:tr>
        <w:tc>
          <w:tcPr>
            <w:tcW w:type="dxa" w:w="1250"/>
          </w:tcPr>
          <w:p>
            <w:pPr>
              <w:widowControl/>
              <w:spacing w:after="0"/>
            </w:pPr>
            <w:r>
              <w:rPr>
                <w:rFonts w:ascii="Calibri" w:hAnsi="Calibri"/>
                <w:b w:val="0"/>
                <w:i w:val="0"/>
                <w:color w:val="172B4D"/>
                <w:sz w:val="18"/>
              </w:rPr>
              <w:t>Measure</w:t>
            </w:r>
          </w:p>
        </w:tc>
        <w:tc>
          <w:tcPr>
            <w:tcW w:type="dxa" w:w="2750"/>
          </w:tcPr>
          <w:p>
            <w:pPr>
              <w:widowControl/>
              <w:spacing w:after="0"/>
            </w:pPr>
            <w:r>
              <w:rPr>
                <w:rFonts w:ascii="Calibri" w:hAnsi="Calibri"/>
                <w:b w:val="0"/>
                <w:i w:val="0"/>
                <w:color w:val="172B4D"/>
                <w:sz w:val="18"/>
              </w:rPr>
              <w:t>Evaluate owned-channel and post performance.</w:t>
            </w:r>
          </w:p>
        </w:tc>
        <w:tc>
          <w:tcPr>
            <w:tcW w:type="dxa" w:w="5360"/>
          </w:tcPr>
          <w:p>
            <w:pPr>
              <w:widowControl/>
              <w:spacing w:after="0"/>
            </w:pPr>
            <w:r>
              <w:rPr>
                <w:rFonts w:ascii="Calibri" w:hAnsi="Calibri"/>
                <w:b w:val="0"/>
                <w:i w:val="0"/>
                <w:color w:val="172B4D"/>
                <w:sz w:val="18"/>
              </w:rPr>
              <w:t>Prebuilt/custom dashboards, channel and post metrics, cross-channel KPIs, sharing, exports and scheduled reports.</w:t>
            </w:r>
          </w:p>
        </w:tc>
      </w:tr>
      <w:tr>
        <w:tc>
          <w:tcPr>
            <w:tcW w:type="dxa" w:w="1250"/>
          </w:tcPr>
          <w:p>
            <w:pPr>
              <w:widowControl/>
              <w:spacing w:after="0"/>
            </w:pPr>
            <w:r>
              <w:rPr>
                <w:rFonts w:ascii="Calibri" w:hAnsi="Calibri"/>
                <w:b w:val="0"/>
                <w:i w:val="0"/>
                <w:color w:val="172B4D"/>
                <w:sz w:val="18"/>
              </w:rPr>
              <w:t>Benchmark</w:t>
            </w:r>
          </w:p>
        </w:tc>
        <w:tc>
          <w:tcPr>
            <w:tcW w:type="dxa" w:w="2750"/>
          </w:tcPr>
          <w:p>
            <w:pPr>
              <w:widowControl/>
              <w:spacing w:after="0"/>
            </w:pPr>
            <w:r>
              <w:rPr>
                <w:rFonts w:ascii="Calibri" w:hAnsi="Calibri"/>
                <w:b w:val="0"/>
                <w:i w:val="0"/>
                <w:color w:val="172B4D"/>
                <w:sz w:val="18"/>
              </w:rPr>
              <w:t>Compare owned and competitor performance.</w:t>
            </w:r>
          </w:p>
        </w:tc>
        <w:tc>
          <w:tcPr>
            <w:tcW w:type="dxa" w:w="5360"/>
          </w:tcPr>
          <w:p>
            <w:pPr>
              <w:widowControl/>
              <w:spacing w:after="0"/>
            </w:pPr>
            <w:r>
              <w:rPr>
                <w:rFonts w:ascii="Calibri" w:hAnsi="Calibri"/>
                <w:b w:val="0"/>
                <w:i w:val="0"/>
                <w:color w:val="172B4D"/>
                <w:sz w:val="18"/>
              </w:rPr>
              <w:t>Brand-level and content-level competitive views across networks.</w:t>
            </w:r>
          </w:p>
        </w:tc>
      </w:tr>
      <w:tr>
        <w:tc>
          <w:tcPr>
            <w:tcW w:type="dxa" w:w="1250"/>
          </w:tcPr>
          <w:p>
            <w:pPr>
              <w:widowControl/>
              <w:spacing w:after="0"/>
            </w:pPr>
            <w:r>
              <w:rPr>
                <w:rFonts w:ascii="Calibri" w:hAnsi="Calibri"/>
                <w:b w:val="0"/>
                <w:i w:val="0"/>
                <w:color w:val="172B4D"/>
                <w:sz w:val="18"/>
              </w:rPr>
              <w:t>Advertise</w:t>
            </w:r>
          </w:p>
        </w:tc>
        <w:tc>
          <w:tcPr>
            <w:tcW w:type="dxa" w:w="2750"/>
          </w:tcPr>
          <w:p>
            <w:pPr>
              <w:widowControl/>
              <w:spacing w:after="0"/>
            </w:pPr>
            <w:r>
              <w:rPr>
                <w:rFonts w:ascii="Calibri" w:hAnsi="Calibri"/>
                <w:b w:val="0"/>
                <w:i w:val="0"/>
                <w:color w:val="172B4D"/>
                <w:sz w:val="18"/>
              </w:rPr>
              <w:t>Manage and measure paid social.</w:t>
            </w:r>
          </w:p>
        </w:tc>
        <w:tc>
          <w:tcPr>
            <w:tcW w:type="dxa" w:w="5360"/>
          </w:tcPr>
          <w:p>
            <w:pPr>
              <w:widowControl/>
              <w:spacing w:after="0"/>
            </w:pPr>
            <w:r>
              <w:rPr>
                <w:rFonts w:ascii="Calibri" w:hAnsi="Calibri"/>
                <w:b w:val="0"/>
                <w:i w:val="0"/>
                <w:color w:val="172B4D"/>
                <w:sz w:val="18"/>
              </w:rPr>
              <w:t>Campaign, ad set and ad views; roles, budgets, run time, metrics and boosted posts.</w:t>
            </w:r>
          </w:p>
        </w:tc>
      </w:tr>
    </w:tbl>
    <w:p>
      <w:pPr>
        <w:widowControl/>
        <w:spacing w:after="0"/>
      </w:pPr>
    </w:p>
    <w:p>
      <w:pPr>
        <w:pStyle w:val="Heading2"/>
        <w:widowControl/>
      </w:pPr>
      <w:r>
        <w:t>1.3 What Brandwatch does exceptionally well</w:t>
      </w:r>
    </w:p>
    <w:p>
      <w:pPr>
        <w:pStyle w:val="ListBullet"/>
        <w:widowControl/>
      </w:pPr>
      <w:r>
        <w:rPr>
          <w:rFonts w:ascii="Calibri" w:hAnsi="Calibri"/>
          <w:b w:val="0"/>
          <w:i w:val="0"/>
          <w:color w:val="172B4D"/>
          <w:sz w:val="22"/>
        </w:rPr>
        <w:t>Deep, flexible segmentation for complex consumer and reputation questions.</w:t>
      </w:r>
    </w:p>
    <w:p>
      <w:pPr>
        <w:pStyle w:val="ListBullet"/>
        <w:widowControl/>
      </w:pPr>
      <w:r>
        <w:rPr>
          <w:rFonts w:ascii="Calibri" w:hAnsi="Calibri"/>
          <w:b w:val="0"/>
          <w:i w:val="0"/>
          <w:color w:val="172B4D"/>
          <w:sz w:val="22"/>
        </w:rPr>
        <w:t>A strong bridge between listening and day-to-day social account management.</w:t>
      </w:r>
    </w:p>
    <w:p>
      <w:pPr>
        <w:pStyle w:val="ListBullet"/>
        <w:widowControl/>
      </w:pPr>
      <w:r>
        <w:rPr>
          <w:rFonts w:ascii="Calibri" w:hAnsi="Calibri"/>
          <w:b w:val="0"/>
          <w:i w:val="0"/>
          <w:color w:val="172B4D"/>
          <w:sz w:val="22"/>
        </w:rPr>
        <w:t>Customisable dashboards and visualisations for analysts.</w:t>
      </w:r>
    </w:p>
    <w:p>
      <w:pPr>
        <w:pStyle w:val="ListBullet"/>
        <w:widowControl/>
      </w:pPr>
      <w:r>
        <w:rPr>
          <w:rFonts w:ascii="Calibri" w:hAnsi="Calibri"/>
          <w:b w:val="0"/>
          <w:i w:val="0"/>
          <w:color w:val="172B4D"/>
          <w:sz w:val="22"/>
        </w:rPr>
        <w:t>Workflow features—assignments, approvals, labels, notes and response templates—that scale team operations.</w:t>
      </w:r>
    </w:p>
    <w:p>
      <w:pPr>
        <w:pStyle w:val="ListBullet"/>
        <w:widowControl/>
      </w:pPr>
      <w:r>
        <w:rPr>
          <w:rFonts w:ascii="Calibri" w:hAnsi="Calibri"/>
          <w:b w:val="0"/>
          <w:i w:val="0"/>
          <w:color w:val="172B4D"/>
          <w:sz w:val="22"/>
        </w:rPr>
        <w:t>AI across query creation, summaries, trend detection, content assistance and response drafting.</w:t>
      </w:r>
    </w:p>
    <w:p>
      <w:pPr>
        <w:pStyle w:val="Heading2"/>
        <w:widowControl/>
      </w:pPr>
      <w:r>
        <w:t>1.4 What Mi‑Insite should not copy blindly</w:t>
      </w:r>
    </w:p>
    <w:p>
      <w:pPr>
        <w:pStyle w:val="ListBullet"/>
        <w:widowControl/>
      </w:pPr>
      <w:r>
        <w:rPr>
          <w:rFonts w:ascii="Calibri" w:hAnsi="Calibri"/>
          <w:b w:val="0"/>
          <w:i w:val="0"/>
          <w:color w:val="172B4D"/>
          <w:sz w:val="22"/>
        </w:rPr>
        <w:t>Complex query and dashboard configuration without guided templates.</w:t>
      </w:r>
    </w:p>
    <w:p>
      <w:pPr>
        <w:pStyle w:val="ListBullet"/>
        <w:widowControl/>
      </w:pPr>
      <w:r>
        <w:rPr>
          <w:rFonts w:ascii="Calibri" w:hAnsi="Calibri"/>
          <w:b w:val="0"/>
          <w:i w:val="0"/>
          <w:color w:val="172B4D"/>
          <w:sz w:val="22"/>
        </w:rPr>
        <w:t>Separate product experiences that can make intelligence and action feel fragmented.</w:t>
      </w:r>
    </w:p>
    <w:p>
      <w:pPr>
        <w:pStyle w:val="ListBullet"/>
        <w:widowControl/>
      </w:pPr>
      <w:r>
        <w:rPr>
          <w:rFonts w:ascii="Calibri" w:hAnsi="Calibri"/>
          <w:b w:val="0"/>
          <w:i w:val="0"/>
          <w:color w:val="172B4D"/>
          <w:sz w:val="22"/>
        </w:rPr>
        <w:t>Opaque scores or AI summaries without easy drill-down to the underlying evidence.</w:t>
      </w:r>
    </w:p>
    <w:p>
      <w:pPr>
        <w:pStyle w:val="ListBullet"/>
        <w:widowControl/>
      </w:pPr>
      <w:r>
        <w:rPr>
          <w:rFonts w:ascii="Calibri" w:hAnsi="Calibri"/>
          <w:b w:val="0"/>
          <w:i w:val="0"/>
          <w:color w:val="172B4D"/>
          <w:sz w:val="22"/>
        </w:rPr>
        <w:t>Enterprise breadth in the first release; a narrower, coherent workflow will create more value than many shallow modules.</w:t>
      </w:r>
    </w:p>
    <w:p>
      <w:pPr>
        <w:pStyle w:val="Heading1"/>
        <w:pageBreakBefore/>
        <w:widowControl/>
      </w:pPr>
      <w:r>
        <w:t>2. How Meltwater operates</w:t>
      </w:r>
    </w:p>
    <w:p>
      <w:pPr>
        <w:widowControl/>
      </w:pPr>
      <w:r>
        <w:rPr>
          <w:rFonts w:ascii="Calibri" w:hAnsi="Calibri"/>
          <w:b w:val="0"/>
          <w:i w:val="0"/>
          <w:color w:val="172B4D"/>
          <w:sz w:val="22"/>
        </w:rPr>
        <w:t>Meltwater is primarily a media-intelligence and PR operating system that expanded into social listening, engagement and influencer functions. Its operating pattern is collect → analyse → surface insights → enable action.</w:t>
      </w:r>
    </w:p>
    <w:p>
      <w:pPr>
        <w:pStyle w:val="Heading2"/>
        <w:widowControl/>
      </w:pPr>
      <w:r>
        <w:t>2.1 Media Intelligence engine</w:t>
      </w:r>
    </w:p>
    <w:p>
      <w:pPr>
        <w:pStyle w:val="ListNumber"/>
        <w:widowControl/>
        <w:numPr>
          <w:ilvl w:val="0"/>
          <w:numId w:val="11"/>
        </w:numPr>
      </w:pPr>
      <w:r>
        <w:rPr>
          <w:rFonts w:ascii="Calibri" w:hAnsi="Calibri"/>
          <w:b w:val="0"/>
          <w:i w:val="0"/>
          <w:color w:val="172B4D"/>
          <w:sz w:val="22"/>
        </w:rPr>
        <w:t>Collect continuously across online news, print, broadcast, podcasts, social networks, forums, reviews and, increasingly, AI/LLM responses.</w:t>
      </w:r>
    </w:p>
    <w:p>
      <w:pPr>
        <w:pStyle w:val="ListNumber"/>
        <w:widowControl/>
        <w:numPr>
          <w:ilvl w:val="0"/>
          <w:numId w:val="11"/>
        </w:numPr>
      </w:pPr>
      <w:r>
        <w:rPr>
          <w:rFonts w:ascii="Calibri" w:hAnsi="Calibri"/>
          <w:b w:val="0"/>
          <w:i w:val="0"/>
          <w:color w:val="172B4D"/>
          <w:sz w:val="22"/>
        </w:rPr>
        <w:t>Normalize and enrich coverage with source, author, reach, geography, language, topic, entity, sentiment and other attributes.</w:t>
      </w:r>
    </w:p>
    <w:p>
      <w:pPr>
        <w:pStyle w:val="ListNumber"/>
        <w:widowControl/>
        <w:numPr>
          <w:ilvl w:val="0"/>
          <w:numId w:val="11"/>
        </w:numPr>
      </w:pPr>
      <w:r>
        <w:rPr>
          <w:rFonts w:ascii="Calibri" w:hAnsi="Calibri"/>
          <w:b w:val="0"/>
          <w:i w:val="0"/>
          <w:color w:val="172B4D"/>
          <w:sz w:val="22"/>
        </w:rPr>
        <w:t>Alert teams to keywords, unusual spikes, negative shifts and breaking narratives.</w:t>
      </w:r>
    </w:p>
    <w:p>
      <w:pPr>
        <w:pStyle w:val="ListNumber"/>
        <w:widowControl/>
        <w:numPr>
          <w:ilvl w:val="0"/>
          <w:numId w:val="11"/>
        </w:numPr>
      </w:pPr>
      <w:r>
        <w:rPr>
          <w:rFonts w:ascii="Calibri" w:hAnsi="Calibri"/>
          <w:b w:val="0"/>
          <w:i w:val="0"/>
          <w:color w:val="172B4D"/>
          <w:sz w:val="22"/>
        </w:rPr>
        <w:t>Present dashboards and AI-generated summaries, then support comparison across campaigns, competitors, markets and time.</w:t>
      </w:r>
    </w:p>
    <w:p>
      <w:pPr>
        <w:pStyle w:val="ListNumber"/>
        <w:widowControl/>
        <w:numPr>
          <w:ilvl w:val="0"/>
          <w:numId w:val="11"/>
        </w:numPr>
      </w:pPr>
      <w:r>
        <w:rPr>
          <w:rFonts w:ascii="Calibri" w:hAnsi="Calibri"/>
          <w:b w:val="0"/>
          <w:i w:val="0"/>
          <w:color w:val="172B4D"/>
          <w:sz w:val="22"/>
        </w:rPr>
        <w:t>Package the result into executive-ready reports that link coverage to reach, share of voice, sentiment, message pull-through and other PR outcomes.</w:t>
      </w:r>
    </w:p>
    <w:p>
      <w:pPr>
        <w:widowControl/>
      </w:pPr>
      <w:r>
        <w:rPr>
          <w:rFonts w:ascii="Calibri" w:hAnsi="Calibri"/>
          <w:b w:val="0"/>
          <w:i w:val="0"/>
          <w:color w:val="172B4D"/>
          <w:sz w:val="22"/>
        </w:rPr>
        <w:t>Meltwater’s official material emphasises broad earned-media coverage: online publications, traditional media, broadcast, podcasts and social sources. This makes it particularly strong for communications teams that cannot treat social media as the whole reputation environment.</w:t>
      </w:r>
    </w:p>
    <w:p>
      <w:pPr>
        <w:pStyle w:val="Heading2"/>
        <w:widowControl/>
      </w:pPr>
      <w:r>
        <w:t>2.2 Social Listening and engagement</w:t>
      </w:r>
    </w:p>
    <w:p>
      <w:pPr>
        <w:pStyle w:val="ListBullet"/>
        <w:widowControl/>
      </w:pPr>
      <w:r>
        <w:rPr>
          <w:rFonts w:ascii="Calibri" w:hAnsi="Calibri"/>
          <w:b w:val="0"/>
          <w:i w:val="0"/>
          <w:color w:val="172B4D"/>
          <w:sz w:val="22"/>
        </w:rPr>
        <w:t>Cross-channel listening combines social, news, forums and Reddit in one analytical workflow.</w:t>
      </w:r>
    </w:p>
    <w:p>
      <w:pPr>
        <w:pStyle w:val="ListBullet"/>
        <w:widowControl/>
      </w:pPr>
      <w:r>
        <w:rPr>
          <w:rFonts w:ascii="Calibri" w:hAnsi="Calibri"/>
          <w:b w:val="0"/>
          <w:i w:val="0"/>
          <w:color w:val="172B4D"/>
          <w:sz w:val="22"/>
        </w:rPr>
        <w:t>Real-time alerts cover volume spikes, sentiment shifts and specified terms; notifications can flow to collaboration tools.</w:t>
      </w:r>
    </w:p>
    <w:p>
      <w:pPr>
        <w:pStyle w:val="ListBullet"/>
        <w:widowControl/>
      </w:pPr>
      <w:r>
        <w:rPr>
          <w:rFonts w:ascii="Calibri" w:hAnsi="Calibri"/>
          <w:b w:val="0"/>
          <w:i w:val="0"/>
          <w:color w:val="172B4D"/>
          <w:sz w:val="22"/>
        </w:rPr>
        <w:t>Competitive intelligence includes share of voice, sentiment comparisons and narrative movement.</w:t>
      </w:r>
    </w:p>
    <w:p>
      <w:pPr>
        <w:pStyle w:val="ListBullet"/>
        <w:widowControl/>
      </w:pPr>
      <w:r>
        <w:rPr>
          <w:rFonts w:ascii="Calibri" w:hAnsi="Calibri"/>
          <w:b w:val="0"/>
          <w:i w:val="0"/>
          <w:color w:val="172B4D"/>
          <w:sz w:val="22"/>
        </w:rPr>
        <w:t>Meltwater Engage supports planning/publishing, a unified inbox, assignment and routing, moderation, history, configurable approvals, collision avoidance and an audit trail.</w:t>
      </w:r>
    </w:p>
    <w:p>
      <w:pPr>
        <w:pStyle w:val="ListBullet"/>
        <w:widowControl/>
      </w:pPr>
      <w:r>
        <w:rPr>
          <w:rFonts w:ascii="Calibri" w:hAnsi="Calibri"/>
          <w:b w:val="0"/>
          <w:i w:val="0"/>
          <w:color w:val="172B4D"/>
          <w:sz w:val="22"/>
        </w:rPr>
        <w:t>Social analytics can aggregate channels or isolate individual networks, with scheduled stakeholder reports and exports.</w:t>
      </w:r>
    </w:p>
    <w:p>
      <w:pPr>
        <w:pStyle w:val="Heading2"/>
        <w:widowControl/>
      </w:pPr>
      <w:r>
        <w:t>2.3 PR and media relations engine</w:t>
      </w:r>
    </w:p>
    <w:p>
      <w:pPr>
        <w:pStyle w:val="ListBullet"/>
        <w:widowControl/>
      </w:pPr>
      <w:r>
        <w:rPr>
          <w:rFonts w:ascii="Calibri" w:hAnsi="Calibri"/>
          <w:b w:val="0"/>
          <w:i w:val="0"/>
          <w:color w:val="172B4D"/>
          <w:sz w:val="22"/>
        </w:rPr>
        <w:t>Searchable journalist and media-contact database.</w:t>
      </w:r>
    </w:p>
    <w:p>
      <w:pPr>
        <w:pStyle w:val="ListBullet"/>
        <w:widowControl/>
      </w:pPr>
      <w:r>
        <w:rPr>
          <w:rFonts w:ascii="Calibri" w:hAnsi="Calibri"/>
          <w:b w:val="0"/>
          <w:i w:val="0"/>
          <w:color w:val="172B4D"/>
          <w:sz w:val="22"/>
        </w:rPr>
        <w:t>Media lists, outreach and campaign tracking.</w:t>
      </w:r>
    </w:p>
    <w:p>
      <w:pPr>
        <w:pStyle w:val="ListBullet"/>
        <w:widowControl/>
      </w:pPr>
      <w:r>
        <w:rPr>
          <w:rFonts w:ascii="Calibri" w:hAnsi="Calibri"/>
          <w:b w:val="0"/>
          <w:i w:val="0"/>
          <w:color w:val="172B4D"/>
          <w:sz w:val="22"/>
        </w:rPr>
        <w:t>Press release distribution and measurement, depending on package and region.</w:t>
      </w:r>
    </w:p>
    <w:p>
      <w:pPr>
        <w:pStyle w:val="ListBullet"/>
        <w:widowControl/>
      </w:pPr>
      <w:r>
        <w:rPr>
          <w:rFonts w:ascii="Calibri" w:hAnsi="Calibri"/>
          <w:b w:val="0"/>
          <w:i w:val="0"/>
          <w:color w:val="172B4D"/>
          <w:sz w:val="22"/>
        </w:rPr>
        <w:t>Top-publication, journalist/influencer, geography and message analysis.</w:t>
      </w:r>
    </w:p>
    <w:p>
      <w:pPr>
        <w:pStyle w:val="ListBullet"/>
        <w:widowControl/>
      </w:pPr>
      <w:r>
        <w:rPr>
          <w:rFonts w:ascii="Calibri" w:hAnsi="Calibri"/>
          <w:b w:val="0"/>
          <w:i w:val="0"/>
          <w:color w:val="172B4D"/>
          <w:sz w:val="22"/>
        </w:rPr>
        <w:t>PR dashboards and reports designed for senior communications stakeholders.</w:t>
      </w:r>
    </w:p>
    <w:p>
      <w:pPr>
        <w:pStyle w:val="Heading2"/>
        <w:widowControl/>
      </w:pPr>
      <w:r>
        <w:t>2.4 What Meltwater does exceptionally well</w:t>
      </w:r>
    </w:p>
    <w:p>
      <w:pPr>
        <w:pStyle w:val="ListBullet"/>
        <w:widowControl/>
      </w:pPr>
      <w:r>
        <w:rPr>
          <w:rFonts w:ascii="Calibri" w:hAnsi="Calibri"/>
          <w:b w:val="0"/>
          <w:i w:val="0"/>
          <w:color w:val="172B4D"/>
          <w:sz w:val="22"/>
        </w:rPr>
        <w:t>Treats earned media, broadcast, podcasts and social as one reputation picture.</w:t>
      </w:r>
    </w:p>
    <w:p>
      <w:pPr>
        <w:pStyle w:val="ListBullet"/>
        <w:widowControl/>
      </w:pPr>
      <w:r>
        <w:rPr>
          <w:rFonts w:ascii="Calibri" w:hAnsi="Calibri"/>
          <w:b w:val="0"/>
          <w:i w:val="0"/>
          <w:color w:val="172B4D"/>
          <w:sz w:val="22"/>
        </w:rPr>
        <w:t>Strong alerts and executive reporting for PR and corporate affairs.</w:t>
      </w:r>
    </w:p>
    <w:p>
      <w:pPr>
        <w:pStyle w:val="ListBullet"/>
        <w:widowControl/>
      </w:pPr>
      <w:r>
        <w:rPr>
          <w:rFonts w:ascii="Calibri" w:hAnsi="Calibri"/>
          <w:b w:val="0"/>
          <w:i w:val="0"/>
          <w:color w:val="172B4D"/>
          <w:sz w:val="22"/>
        </w:rPr>
        <w:t>Media-relations workflow alongside monitoring and measurement.</w:t>
      </w:r>
    </w:p>
    <w:p>
      <w:pPr>
        <w:pStyle w:val="ListBullet"/>
        <w:widowControl/>
      </w:pPr>
      <w:r>
        <w:rPr>
          <w:rFonts w:ascii="Calibri" w:hAnsi="Calibri"/>
          <w:b w:val="0"/>
          <w:i w:val="0"/>
          <w:color w:val="172B4D"/>
          <w:sz w:val="22"/>
        </w:rPr>
        <w:t>Global, multilingual coverage and source diversity.</w:t>
      </w:r>
    </w:p>
    <w:p>
      <w:pPr>
        <w:pStyle w:val="ListBullet"/>
        <w:widowControl/>
      </w:pPr>
      <w:r>
        <w:rPr>
          <w:rFonts w:ascii="Calibri" w:hAnsi="Calibri"/>
          <w:b w:val="0"/>
          <w:i w:val="0"/>
          <w:color w:val="172B4D"/>
          <w:sz w:val="22"/>
        </w:rPr>
        <w:t>Clear narrative for moving from clips to impact and decision support.</w:t>
      </w:r>
    </w:p>
    <w:p>
      <w:pPr>
        <w:pStyle w:val="Heading2"/>
        <w:widowControl/>
      </w:pPr>
      <w:r>
        <w:t>2.5 What Mi‑Insite should not copy blindly</w:t>
      </w:r>
    </w:p>
    <w:p>
      <w:pPr>
        <w:pStyle w:val="ListBullet"/>
        <w:widowControl/>
      </w:pPr>
      <w:r>
        <w:rPr>
          <w:rFonts w:ascii="Calibri" w:hAnsi="Calibri"/>
          <w:b w:val="0"/>
          <w:i w:val="0"/>
          <w:color w:val="172B4D"/>
          <w:sz w:val="22"/>
        </w:rPr>
        <w:t>Relying on a single provider’s black-box reach or sentiment metric.</w:t>
      </w:r>
    </w:p>
    <w:p>
      <w:pPr>
        <w:pStyle w:val="ListBullet"/>
        <w:widowControl/>
      </w:pPr>
      <w:r>
        <w:rPr>
          <w:rFonts w:ascii="Calibri" w:hAnsi="Calibri"/>
          <w:b w:val="0"/>
          <w:i w:val="0"/>
          <w:color w:val="172B4D"/>
          <w:sz w:val="22"/>
        </w:rPr>
        <w:t>Presenting every available metric without tying it to a defined objective.</w:t>
      </w:r>
    </w:p>
    <w:p>
      <w:pPr>
        <w:pStyle w:val="ListBullet"/>
        <w:widowControl/>
      </w:pPr>
      <w:r>
        <w:rPr>
          <w:rFonts w:ascii="Calibri" w:hAnsi="Calibri"/>
          <w:b w:val="0"/>
          <w:i w:val="0"/>
          <w:color w:val="172B4D"/>
          <w:sz w:val="22"/>
        </w:rPr>
        <w:t>Assuming all sources and historical access are included in every package.</w:t>
      </w:r>
    </w:p>
    <w:p>
      <w:pPr>
        <w:pStyle w:val="ListBullet"/>
        <w:widowControl/>
      </w:pPr>
      <w:r>
        <w:rPr>
          <w:rFonts w:ascii="Calibri" w:hAnsi="Calibri"/>
          <w:b w:val="0"/>
          <w:i w:val="0"/>
          <w:color w:val="172B4D"/>
          <w:sz w:val="22"/>
        </w:rPr>
        <w:t>Using AI summaries as conclusions without source-linked examples, confidence and analyst override.</w:t>
      </w:r>
    </w:p>
    <w:p>
      <w:pPr>
        <w:pStyle w:val="Heading1"/>
        <w:pageBreakBefore/>
        <w:widowControl/>
      </w:pPr>
      <w:r>
        <w:t>3. Best-of-both capability blueprint</w:t>
      </w:r>
    </w:p>
    <w:tbl>
      <w:tblPr>
        <w:tblW w:type="dxa" w:w="9360"/>
        <w:jc w:val="left"/>
        <w:tblLayout w:type="fixed"/>
        <w:tblLook w:firstColumn="1" w:firstRow="1" w:lastColumn="0" w:lastRow="0" w:noHBand="0" w:noVBand="1" w:val="04A0"/>
        <w:tblInd w:w="120" w:type="dxa"/>
        <w:tblBorders>
          <w:top w:val="single" w:sz="5" w:color="D0D5DD"/>
          <w:left w:val="single" w:sz="5" w:color="D0D5DD"/>
          <w:bottom w:val="single" w:sz="5" w:color="D0D5DD"/>
          <w:right w:val="single" w:sz="5" w:color="D0D5DD"/>
          <w:insideH w:val="single" w:sz="5" w:color="D0D5DD"/>
          <w:insideV w:val="single" w:sz="5" w:color="D0D5DD"/>
        </w:tblBorders>
      </w:tblPr>
      <w:tblGrid>
        <w:gridCol w:w="1300"/>
        <w:gridCol w:w="2300"/>
        <w:gridCol w:w="2300"/>
        <w:gridCol w:w="3460"/>
      </w:tblGrid>
      <w:tr>
        <w:trPr>
          <w:tblHeader w:val="true"/>
        </w:trPr>
        <w:tc>
          <w:tcPr>
            <w:tcW w:type="dxa" w:w="1300"/>
            <w:vAlign w:val="center"/>
            <w:tcMar>
              <w:top w:w="80" w:type="dxa"/>
              <w:start w:w="120" w:type="dxa"/>
              <w:bottom w:w="80" w:type="dxa"/>
              <w:end w:w="120" w:type="dxa"/>
            </w:tcMar>
            <w:shd w:fill="F2F4F7"/>
          </w:tcPr>
          <w:p>
            <w:pPr>
              <w:widowControl/>
              <w:spacing w:after="0"/>
            </w:pPr>
            <w:r>
              <w:rPr>
                <w:rFonts w:ascii="Calibri" w:hAnsi="Calibri"/>
                <w:b/>
                <w:i w:val="0"/>
                <w:color w:val="0B2545"/>
                <w:sz w:val="16"/>
              </w:rPr>
              <w:t>Capability</w:t>
            </w:r>
          </w:p>
        </w:tc>
        <w:tc>
          <w:tcPr>
            <w:tcW w:type="dxa" w:w="2300"/>
            <w:vAlign w:val="center"/>
            <w:tcMar>
              <w:top w:w="80" w:type="dxa"/>
              <w:start w:w="120" w:type="dxa"/>
              <w:bottom w:w="80" w:type="dxa"/>
              <w:end w:w="120" w:type="dxa"/>
            </w:tcMar>
            <w:shd w:fill="F2F4F7"/>
          </w:tcPr>
          <w:p>
            <w:pPr>
              <w:widowControl/>
              <w:spacing w:after="0"/>
            </w:pPr>
            <w:r>
              <w:rPr>
                <w:rFonts w:ascii="Calibri" w:hAnsi="Calibri"/>
                <w:b/>
                <w:i w:val="0"/>
                <w:color w:val="0B2545"/>
                <w:sz w:val="16"/>
              </w:rPr>
              <w:t>Brandwatch contribution</w:t>
            </w:r>
          </w:p>
        </w:tc>
        <w:tc>
          <w:tcPr>
            <w:tcW w:type="dxa" w:w="2300"/>
            <w:vAlign w:val="center"/>
            <w:tcMar>
              <w:top w:w="80" w:type="dxa"/>
              <w:start w:w="120" w:type="dxa"/>
              <w:bottom w:w="80" w:type="dxa"/>
              <w:end w:w="120" w:type="dxa"/>
            </w:tcMar>
            <w:shd w:fill="F2F4F7"/>
          </w:tcPr>
          <w:p>
            <w:pPr>
              <w:widowControl/>
              <w:spacing w:after="0"/>
            </w:pPr>
            <w:r>
              <w:rPr>
                <w:rFonts w:ascii="Calibri" w:hAnsi="Calibri"/>
                <w:b/>
                <w:i w:val="0"/>
                <w:color w:val="0B2545"/>
                <w:sz w:val="16"/>
              </w:rPr>
              <w:t>Meltwater contribution</w:t>
            </w:r>
          </w:p>
        </w:tc>
        <w:tc>
          <w:tcPr>
            <w:tcW w:type="dxa" w:w="3460"/>
            <w:vAlign w:val="center"/>
            <w:tcMar>
              <w:top w:w="80" w:type="dxa"/>
              <w:start w:w="120" w:type="dxa"/>
              <w:bottom w:w="80" w:type="dxa"/>
              <w:end w:w="120" w:type="dxa"/>
            </w:tcMar>
            <w:shd w:fill="F2F4F7"/>
          </w:tcPr>
          <w:p>
            <w:pPr>
              <w:widowControl/>
              <w:spacing w:after="0"/>
            </w:pPr>
            <w:r>
              <w:rPr>
                <w:rFonts w:ascii="Calibri" w:hAnsi="Calibri"/>
                <w:b/>
                <w:i w:val="0"/>
                <w:color w:val="0B2545"/>
                <w:sz w:val="16"/>
              </w:rPr>
              <w:t>Mi‑Insite decision</w:t>
            </w:r>
          </w:p>
        </w:tc>
      </w:tr>
      <w:tr>
        <w:tc>
          <w:tcPr>
            <w:tcW w:type="dxa" w:w="1300"/>
          </w:tcPr>
          <w:p>
            <w:pPr>
              <w:widowControl/>
              <w:spacing w:after="0"/>
            </w:pPr>
            <w:r>
              <w:rPr>
                <w:rFonts w:ascii="Calibri" w:hAnsi="Calibri"/>
                <w:b w:val="0"/>
                <w:i w:val="0"/>
                <w:color w:val="172B4D"/>
                <w:sz w:val="16"/>
              </w:rPr>
              <w:t>Listening</w:t>
            </w:r>
          </w:p>
        </w:tc>
        <w:tc>
          <w:tcPr>
            <w:tcW w:type="dxa" w:w="2300"/>
          </w:tcPr>
          <w:p>
            <w:pPr>
              <w:widowControl/>
              <w:spacing w:after="0"/>
            </w:pPr>
            <w:r>
              <w:rPr>
                <w:rFonts w:ascii="Calibri" w:hAnsi="Calibri"/>
                <w:b w:val="0"/>
                <w:i w:val="0"/>
                <w:color w:val="172B4D"/>
                <w:sz w:val="16"/>
              </w:rPr>
              <w:t>Deep social/consumer search, segmentation and classifiers.</w:t>
            </w:r>
          </w:p>
        </w:tc>
        <w:tc>
          <w:tcPr>
            <w:tcW w:type="dxa" w:w="2300"/>
          </w:tcPr>
          <w:p>
            <w:pPr>
              <w:widowControl/>
              <w:spacing w:after="0"/>
            </w:pPr>
            <w:r>
              <w:rPr>
                <w:rFonts w:ascii="Calibri" w:hAnsi="Calibri"/>
                <w:b w:val="0"/>
                <w:i w:val="0"/>
                <w:color w:val="172B4D"/>
                <w:sz w:val="16"/>
              </w:rPr>
              <w:t>Social + news + forums in one workflow.</w:t>
            </w:r>
          </w:p>
        </w:tc>
        <w:tc>
          <w:tcPr>
            <w:tcW w:type="dxa" w:w="3460"/>
          </w:tcPr>
          <w:p>
            <w:pPr>
              <w:widowControl/>
              <w:spacing w:after="0"/>
            </w:pPr>
            <w:r>
              <w:rPr>
                <w:rFonts w:ascii="Calibri" w:hAnsi="Calibri"/>
                <w:b w:val="0"/>
                <w:i w:val="0"/>
                <w:color w:val="172B4D"/>
                <w:sz w:val="16"/>
              </w:rPr>
              <w:t>Unified query builder with source packs and reusable taxonomies.</w:t>
            </w:r>
          </w:p>
        </w:tc>
      </w:tr>
      <w:tr>
        <w:tc>
          <w:tcPr>
            <w:tcW w:type="dxa" w:w="1300"/>
          </w:tcPr>
          <w:p>
            <w:pPr>
              <w:widowControl/>
              <w:spacing w:after="0"/>
            </w:pPr>
            <w:r>
              <w:rPr>
                <w:rFonts w:ascii="Calibri" w:hAnsi="Calibri"/>
                <w:b w:val="0"/>
                <w:i w:val="0"/>
                <w:color w:val="172B4D"/>
                <w:sz w:val="16"/>
              </w:rPr>
              <w:t>Earned media</w:t>
            </w:r>
          </w:p>
        </w:tc>
        <w:tc>
          <w:tcPr>
            <w:tcW w:type="dxa" w:w="2300"/>
          </w:tcPr>
          <w:p>
            <w:pPr>
              <w:widowControl/>
              <w:spacing w:after="0"/>
            </w:pPr>
            <w:r>
              <w:rPr>
                <w:rFonts w:ascii="Calibri" w:hAnsi="Calibri"/>
                <w:b w:val="0"/>
                <w:i w:val="0"/>
                <w:color w:val="172B4D"/>
                <w:sz w:val="16"/>
              </w:rPr>
              <w:t>Some news and broader online data within consumer research.</w:t>
            </w:r>
          </w:p>
        </w:tc>
        <w:tc>
          <w:tcPr>
            <w:tcW w:type="dxa" w:w="2300"/>
          </w:tcPr>
          <w:p>
            <w:pPr>
              <w:widowControl/>
              <w:spacing w:after="0"/>
            </w:pPr>
            <w:r>
              <w:rPr>
                <w:rFonts w:ascii="Calibri" w:hAnsi="Calibri"/>
                <w:b w:val="0"/>
                <w:i w:val="0"/>
                <w:color w:val="172B4D"/>
                <w:sz w:val="16"/>
              </w:rPr>
              <w:t>Core strength across online, print, broadcast and podcasts.</w:t>
            </w:r>
          </w:p>
        </w:tc>
        <w:tc>
          <w:tcPr>
            <w:tcW w:type="dxa" w:w="3460"/>
          </w:tcPr>
          <w:p>
            <w:pPr>
              <w:widowControl/>
              <w:spacing w:after="0"/>
            </w:pPr>
            <w:r>
              <w:rPr>
                <w:rFonts w:ascii="Calibri" w:hAnsi="Calibri"/>
                <w:b w:val="0"/>
                <w:i w:val="0"/>
                <w:color w:val="172B4D"/>
                <w:sz w:val="16"/>
              </w:rPr>
              <w:t>Meltwater-style breadth through licensed connectors; local-source curation is strategic.</w:t>
            </w:r>
          </w:p>
        </w:tc>
      </w:tr>
      <w:tr>
        <w:tc>
          <w:tcPr>
            <w:tcW w:type="dxa" w:w="1300"/>
          </w:tcPr>
          <w:p>
            <w:pPr>
              <w:widowControl/>
              <w:spacing w:after="0"/>
            </w:pPr>
            <w:r>
              <w:rPr>
                <w:rFonts w:ascii="Calibri" w:hAnsi="Calibri"/>
                <w:b w:val="0"/>
                <w:i w:val="0"/>
                <w:color w:val="172B4D"/>
                <w:sz w:val="16"/>
              </w:rPr>
              <w:t>Engagement</w:t>
            </w:r>
          </w:p>
        </w:tc>
        <w:tc>
          <w:tcPr>
            <w:tcW w:type="dxa" w:w="2300"/>
          </w:tcPr>
          <w:p>
            <w:pPr>
              <w:widowControl/>
              <w:spacing w:after="0"/>
            </w:pPr>
            <w:r>
              <w:rPr>
                <w:rFonts w:ascii="Calibri" w:hAnsi="Calibri"/>
                <w:b w:val="0"/>
                <w:i w:val="0"/>
                <w:color w:val="172B4D"/>
                <w:sz w:val="16"/>
              </w:rPr>
              <w:t>Mature inbox, assignments, templates, notes, labels.</w:t>
            </w:r>
          </w:p>
        </w:tc>
        <w:tc>
          <w:tcPr>
            <w:tcW w:type="dxa" w:w="2300"/>
          </w:tcPr>
          <w:p>
            <w:pPr>
              <w:widowControl/>
              <w:spacing w:after="0"/>
            </w:pPr>
            <w:r>
              <w:rPr>
                <w:rFonts w:ascii="Calibri" w:hAnsi="Calibri"/>
                <w:b w:val="0"/>
                <w:i w:val="0"/>
                <w:color w:val="172B4D"/>
                <w:sz w:val="16"/>
              </w:rPr>
              <w:t>Unified inbox, routing, moderation, history, collision avoidance.</w:t>
            </w:r>
          </w:p>
        </w:tc>
        <w:tc>
          <w:tcPr>
            <w:tcW w:type="dxa" w:w="3460"/>
          </w:tcPr>
          <w:p>
            <w:pPr>
              <w:widowControl/>
              <w:spacing w:after="0"/>
            </w:pPr>
            <w:r>
              <w:rPr>
                <w:rFonts w:ascii="Calibri" w:hAnsi="Calibri"/>
                <w:b w:val="0"/>
                <w:i w:val="0"/>
                <w:color w:val="172B4D"/>
                <w:sz w:val="16"/>
              </w:rPr>
              <w:t>Case-based response inbox with SLA, playbooks, approvals and evidence trail.</w:t>
            </w:r>
          </w:p>
        </w:tc>
      </w:tr>
      <w:tr>
        <w:tc>
          <w:tcPr>
            <w:tcW w:type="dxa" w:w="1300"/>
          </w:tcPr>
          <w:p>
            <w:pPr>
              <w:widowControl/>
              <w:spacing w:after="0"/>
            </w:pPr>
            <w:r>
              <w:rPr>
                <w:rFonts w:ascii="Calibri" w:hAnsi="Calibri"/>
                <w:b w:val="0"/>
                <w:i w:val="0"/>
                <w:color w:val="172B4D"/>
                <w:sz w:val="16"/>
              </w:rPr>
              <w:t>Publishing</w:t>
            </w:r>
          </w:p>
        </w:tc>
        <w:tc>
          <w:tcPr>
            <w:tcW w:type="dxa" w:w="2300"/>
          </w:tcPr>
          <w:p>
            <w:pPr>
              <w:widowControl/>
              <w:spacing w:after="0"/>
            </w:pPr>
            <w:r>
              <w:rPr>
                <w:rFonts w:ascii="Calibri" w:hAnsi="Calibri"/>
                <w:b w:val="0"/>
                <w:i w:val="0"/>
                <w:color w:val="172B4D"/>
                <w:sz w:val="16"/>
              </w:rPr>
              <w:t>Calendar, assets, campaigns, multi-channel composer, approvals.</w:t>
            </w:r>
          </w:p>
        </w:tc>
        <w:tc>
          <w:tcPr>
            <w:tcW w:type="dxa" w:w="2300"/>
          </w:tcPr>
          <w:p>
            <w:pPr>
              <w:widowControl/>
              <w:spacing w:after="0"/>
            </w:pPr>
            <w:r>
              <w:rPr>
                <w:rFonts w:ascii="Calibri" w:hAnsi="Calibri"/>
                <w:b w:val="0"/>
                <w:i w:val="0"/>
                <w:color w:val="172B4D"/>
                <w:sz w:val="16"/>
              </w:rPr>
              <w:t>Planning, publishing and role-based approval.</w:t>
            </w:r>
          </w:p>
        </w:tc>
        <w:tc>
          <w:tcPr>
            <w:tcW w:type="dxa" w:w="3460"/>
          </w:tcPr>
          <w:p>
            <w:pPr>
              <w:widowControl/>
              <w:spacing w:after="0"/>
            </w:pPr>
            <w:r>
              <w:rPr>
                <w:rFonts w:ascii="Calibri" w:hAnsi="Calibri"/>
                <w:b w:val="0"/>
                <w:i w:val="0"/>
                <w:color w:val="172B4D"/>
                <w:sz w:val="16"/>
              </w:rPr>
              <w:t>Channel-aware composer, approval policy, campaign links and archive snapshot.</w:t>
            </w:r>
          </w:p>
        </w:tc>
      </w:tr>
      <w:tr>
        <w:tc>
          <w:tcPr>
            <w:tcW w:type="dxa" w:w="1300"/>
          </w:tcPr>
          <w:p>
            <w:pPr>
              <w:widowControl/>
              <w:spacing w:after="0"/>
            </w:pPr>
            <w:r>
              <w:rPr>
                <w:rFonts w:ascii="Calibri" w:hAnsi="Calibri"/>
                <w:b w:val="0"/>
                <w:i w:val="0"/>
                <w:color w:val="172B4D"/>
                <w:sz w:val="16"/>
              </w:rPr>
              <w:t>Analysis</w:t>
            </w:r>
          </w:p>
        </w:tc>
        <w:tc>
          <w:tcPr>
            <w:tcW w:type="dxa" w:w="2300"/>
          </w:tcPr>
          <w:p>
            <w:pPr>
              <w:widowControl/>
              <w:spacing w:after="0"/>
            </w:pPr>
            <w:r>
              <w:rPr>
                <w:rFonts w:ascii="Calibri" w:hAnsi="Calibri"/>
                <w:b w:val="0"/>
                <w:i w:val="0"/>
                <w:color w:val="172B4D"/>
                <w:sz w:val="16"/>
              </w:rPr>
              <w:t>Highly flexible dashboards and custom segmentation.</w:t>
            </w:r>
          </w:p>
        </w:tc>
        <w:tc>
          <w:tcPr>
            <w:tcW w:type="dxa" w:w="2300"/>
          </w:tcPr>
          <w:p>
            <w:pPr>
              <w:widowControl/>
              <w:spacing w:after="0"/>
            </w:pPr>
            <w:r>
              <w:rPr>
                <w:rFonts w:ascii="Calibri" w:hAnsi="Calibri"/>
                <w:b w:val="0"/>
                <w:i w:val="0"/>
                <w:color w:val="172B4D"/>
                <w:sz w:val="16"/>
              </w:rPr>
              <w:t>PR-oriented metrics and executive storytelling.</w:t>
            </w:r>
          </w:p>
        </w:tc>
        <w:tc>
          <w:tcPr>
            <w:tcW w:type="dxa" w:w="3460"/>
          </w:tcPr>
          <w:p>
            <w:pPr>
              <w:widowControl/>
              <w:spacing w:after="0"/>
            </w:pPr>
            <w:r>
              <w:rPr>
                <w:rFonts w:ascii="Calibri" w:hAnsi="Calibri"/>
                <w:b w:val="0"/>
                <w:i w:val="0"/>
                <w:color w:val="172B4D"/>
                <w:sz w:val="16"/>
              </w:rPr>
              <w:t>Two modes: Analyst Studio and Executive Brief.</w:t>
            </w:r>
          </w:p>
        </w:tc>
      </w:tr>
      <w:tr>
        <w:tc>
          <w:tcPr>
            <w:tcW w:type="dxa" w:w="1300"/>
          </w:tcPr>
          <w:p>
            <w:pPr>
              <w:widowControl/>
              <w:spacing w:after="0"/>
            </w:pPr>
            <w:r>
              <w:rPr>
                <w:rFonts w:ascii="Calibri" w:hAnsi="Calibri"/>
                <w:b w:val="0"/>
                <w:i w:val="0"/>
                <w:color w:val="172B4D"/>
                <w:sz w:val="16"/>
              </w:rPr>
              <w:t>Competitive</w:t>
            </w:r>
          </w:p>
        </w:tc>
        <w:tc>
          <w:tcPr>
            <w:tcW w:type="dxa" w:w="2300"/>
          </w:tcPr>
          <w:p>
            <w:pPr>
              <w:widowControl/>
              <w:spacing w:after="0"/>
            </w:pPr>
            <w:r>
              <w:rPr>
                <w:rFonts w:ascii="Calibri" w:hAnsi="Calibri"/>
                <w:b w:val="0"/>
                <w:i w:val="0"/>
                <w:color w:val="172B4D"/>
                <w:sz w:val="16"/>
              </w:rPr>
              <w:t>Brand/content benchmarking.</w:t>
            </w:r>
          </w:p>
        </w:tc>
        <w:tc>
          <w:tcPr>
            <w:tcW w:type="dxa" w:w="2300"/>
          </w:tcPr>
          <w:p>
            <w:pPr>
              <w:widowControl/>
              <w:spacing w:after="0"/>
            </w:pPr>
            <w:r>
              <w:rPr>
                <w:rFonts w:ascii="Calibri" w:hAnsi="Calibri"/>
                <w:b w:val="0"/>
                <w:i w:val="0"/>
                <w:color w:val="172B4D"/>
                <w:sz w:val="16"/>
              </w:rPr>
              <w:t>Share of voice and narrative movement.</w:t>
            </w:r>
          </w:p>
        </w:tc>
        <w:tc>
          <w:tcPr>
            <w:tcW w:type="dxa" w:w="3460"/>
          </w:tcPr>
          <w:p>
            <w:pPr>
              <w:widowControl/>
              <w:spacing w:after="0"/>
            </w:pPr>
            <w:r>
              <w:rPr>
                <w:rFonts w:ascii="Calibri" w:hAnsi="Calibri"/>
                <w:b w:val="0"/>
                <w:i w:val="0"/>
                <w:color w:val="172B4D"/>
                <w:sz w:val="16"/>
              </w:rPr>
              <w:t>Benchmark entities across earned, social and owned performance.</w:t>
            </w:r>
          </w:p>
        </w:tc>
      </w:tr>
      <w:tr>
        <w:tc>
          <w:tcPr>
            <w:tcW w:type="dxa" w:w="1300"/>
          </w:tcPr>
          <w:p>
            <w:pPr>
              <w:widowControl/>
              <w:spacing w:after="0"/>
            </w:pPr>
            <w:r>
              <w:rPr>
                <w:rFonts w:ascii="Calibri" w:hAnsi="Calibri"/>
                <w:b w:val="0"/>
                <w:i w:val="0"/>
                <w:color w:val="172B4D"/>
                <w:sz w:val="16"/>
              </w:rPr>
              <w:t>PR relations</w:t>
            </w:r>
          </w:p>
        </w:tc>
        <w:tc>
          <w:tcPr>
            <w:tcW w:type="dxa" w:w="2300"/>
          </w:tcPr>
          <w:p>
            <w:pPr>
              <w:widowControl/>
              <w:spacing w:after="0"/>
            </w:pPr>
            <w:r>
              <w:rPr>
                <w:rFonts w:ascii="Calibri" w:hAnsi="Calibri"/>
                <w:b w:val="0"/>
                <w:i w:val="0"/>
                <w:color w:val="172B4D"/>
                <w:sz w:val="16"/>
              </w:rPr>
              <w:t>Available through broader Cision ecosystem.</w:t>
            </w:r>
          </w:p>
        </w:tc>
        <w:tc>
          <w:tcPr>
            <w:tcW w:type="dxa" w:w="2300"/>
          </w:tcPr>
          <w:p>
            <w:pPr>
              <w:widowControl/>
              <w:spacing w:after="0"/>
            </w:pPr>
            <w:r>
              <w:rPr>
                <w:rFonts w:ascii="Calibri" w:hAnsi="Calibri"/>
                <w:b w:val="0"/>
                <w:i w:val="0"/>
                <w:color w:val="172B4D"/>
                <w:sz w:val="16"/>
              </w:rPr>
              <w:t>Journalist database, lists, outreach and distribution.</w:t>
            </w:r>
          </w:p>
        </w:tc>
        <w:tc>
          <w:tcPr>
            <w:tcW w:type="dxa" w:w="3460"/>
          </w:tcPr>
          <w:p>
            <w:pPr>
              <w:widowControl/>
              <w:spacing w:after="0"/>
            </w:pPr>
            <w:r>
              <w:rPr>
                <w:rFonts w:ascii="Calibri" w:hAnsi="Calibri"/>
                <w:b w:val="0"/>
                <w:i w:val="0"/>
                <w:color w:val="172B4D"/>
                <w:sz w:val="16"/>
              </w:rPr>
              <w:t>Phase 2 media CRM; initially integrate an approved database/provider.</w:t>
            </w:r>
          </w:p>
        </w:tc>
      </w:tr>
      <w:tr>
        <w:tc>
          <w:tcPr>
            <w:tcW w:type="dxa" w:w="1300"/>
          </w:tcPr>
          <w:p>
            <w:pPr>
              <w:widowControl/>
              <w:spacing w:after="0"/>
            </w:pPr>
            <w:r>
              <w:rPr>
                <w:rFonts w:ascii="Calibri" w:hAnsi="Calibri"/>
                <w:b w:val="0"/>
                <w:i w:val="0"/>
                <w:color w:val="172B4D"/>
                <w:sz w:val="16"/>
              </w:rPr>
              <w:t>AI</w:t>
            </w:r>
          </w:p>
        </w:tc>
        <w:tc>
          <w:tcPr>
            <w:tcW w:type="dxa" w:w="2300"/>
          </w:tcPr>
          <w:p>
            <w:pPr>
              <w:widowControl/>
              <w:spacing w:after="0"/>
            </w:pPr>
            <w:r>
              <w:rPr>
                <w:rFonts w:ascii="Calibri" w:hAnsi="Calibri"/>
                <w:b w:val="0"/>
                <w:i w:val="0"/>
                <w:color w:val="172B4D"/>
                <w:sz w:val="16"/>
              </w:rPr>
              <w:t>Iris: query help, summaries, trends, creation and responses.</w:t>
            </w:r>
          </w:p>
        </w:tc>
        <w:tc>
          <w:tcPr>
            <w:tcW w:type="dxa" w:w="2300"/>
          </w:tcPr>
          <w:p>
            <w:pPr>
              <w:widowControl/>
              <w:spacing w:after="0"/>
            </w:pPr>
            <w:r>
              <w:rPr>
                <w:rFonts w:ascii="Calibri" w:hAnsi="Calibri"/>
                <w:b w:val="0"/>
                <w:i w:val="0"/>
                <w:color w:val="172B4D"/>
                <w:sz w:val="16"/>
              </w:rPr>
              <w:t>Mira: summaries, anomaly context and reports.</w:t>
            </w:r>
          </w:p>
        </w:tc>
        <w:tc>
          <w:tcPr>
            <w:tcW w:type="dxa" w:w="3460"/>
          </w:tcPr>
          <w:p>
            <w:pPr>
              <w:widowControl/>
              <w:spacing w:after="0"/>
            </w:pPr>
            <w:r>
              <w:rPr>
                <w:rFonts w:ascii="Calibri" w:hAnsi="Calibri"/>
                <w:b w:val="0"/>
                <w:i w:val="0"/>
                <w:color w:val="172B4D"/>
                <w:sz w:val="16"/>
              </w:rPr>
              <w:t>Evidence-grounded copilot with confidence, citations, review gates and organisation memory.</w:t>
            </w:r>
          </w:p>
        </w:tc>
      </w:tr>
      <w:tr>
        <w:tc>
          <w:tcPr>
            <w:tcW w:type="dxa" w:w="1300"/>
          </w:tcPr>
          <w:p>
            <w:pPr>
              <w:widowControl/>
              <w:spacing w:after="0"/>
            </w:pPr>
            <w:r>
              <w:rPr>
                <w:rFonts w:ascii="Calibri" w:hAnsi="Calibri"/>
                <w:b w:val="0"/>
                <w:i w:val="0"/>
                <w:color w:val="172B4D"/>
                <w:sz w:val="16"/>
              </w:rPr>
              <w:t>Archive</w:t>
            </w:r>
          </w:p>
        </w:tc>
        <w:tc>
          <w:tcPr>
            <w:tcW w:type="dxa" w:w="2300"/>
          </w:tcPr>
          <w:p>
            <w:pPr>
              <w:widowControl/>
              <w:spacing w:after="0"/>
            </w:pPr>
            <w:r>
              <w:rPr>
                <w:rFonts w:ascii="Calibri" w:hAnsi="Calibri"/>
                <w:b w:val="0"/>
                <w:i w:val="0"/>
                <w:color w:val="172B4D"/>
                <w:sz w:val="16"/>
              </w:rPr>
              <w:t>Exports and historical data support analysis.</w:t>
            </w:r>
          </w:p>
        </w:tc>
        <w:tc>
          <w:tcPr>
            <w:tcW w:type="dxa" w:w="2300"/>
          </w:tcPr>
          <w:p>
            <w:pPr>
              <w:widowControl/>
              <w:spacing w:after="0"/>
            </w:pPr>
            <w:r>
              <w:rPr>
                <w:rFonts w:ascii="Calibri" w:hAnsi="Calibri"/>
                <w:b w:val="0"/>
                <w:i w:val="0"/>
                <w:color w:val="172B4D"/>
                <w:sz w:val="16"/>
              </w:rPr>
              <w:t>Audit trails and coverage collection.</w:t>
            </w:r>
          </w:p>
        </w:tc>
        <w:tc>
          <w:tcPr>
            <w:tcW w:type="dxa" w:w="3460"/>
          </w:tcPr>
          <w:p>
            <w:pPr>
              <w:widowControl/>
              <w:spacing w:after="0"/>
            </w:pPr>
            <w:r>
              <w:rPr>
                <w:rFonts w:ascii="Calibri" w:hAnsi="Calibri"/>
                <w:b w:val="0"/>
                <w:i w:val="0"/>
                <w:color w:val="172B4D"/>
                <w:sz w:val="16"/>
              </w:rPr>
              <w:t>Tamper-evident archive linking original evidence, actions, approvals and final outcomes.</w:t>
            </w:r>
          </w:p>
        </w:tc>
      </w:tr>
      <w:tr>
        <w:tc>
          <w:tcPr>
            <w:tcW w:type="dxa" w:w="1300"/>
          </w:tcPr>
          <w:p>
            <w:pPr>
              <w:widowControl/>
              <w:spacing w:after="0"/>
            </w:pPr>
            <w:r>
              <w:rPr>
                <w:rFonts w:ascii="Calibri" w:hAnsi="Calibri"/>
                <w:b w:val="0"/>
                <w:i w:val="0"/>
                <w:color w:val="172B4D"/>
                <w:sz w:val="16"/>
              </w:rPr>
              <w:t>Reporting</w:t>
            </w:r>
          </w:p>
        </w:tc>
        <w:tc>
          <w:tcPr>
            <w:tcW w:type="dxa" w:w="2300"/>
          </w:tcPr>
          <w:p>
            <w:pPr>
              <w:widowControl/>
              <w:spacing w:after="0"/>
            </w:pPr>
            <w:r>
              <w:rPr>
                <w:rFonts w:ascii="Calibri" w:hAnsi="Calibri"/>
                <w:b w:val="0"/>
                <w:i w:val="0"/>
                <w:color w:val="172B4D"/>
                <w:sz w:val="16"/>
              </w:rPr>
              <w:t>Flexible widgets, exports, live screens and scheduled reports.</w:t>
            </w:r>
          </w:p>
        </w:tc>
        <w:tc>
          <w:tcPr>
            <w:tcW w:type="dxa" w:w="2300"/>
          </w:tcPr>
          <w:p>
            <w:pPr>
              <w:widowControl/>
              <w:spacing w:after="0"/>
            </w:pPr>
            <w:r>
              <w:rPr>
                <w:rFonts w:ascii="Calibri" w:hAnsi="Calibri"/>
                <w:b w:val="0"/>
                <w:i w:val="0"/>
                <w:color w:val="172B4D"/>
                <w:sz w:val="16"/>
              </w:rPr>
              <w:t>Strong PR and executive reporting.</w:t>
            </w:r>
          </w:p>
        </w:tc>
        <w:tc>
          <w:tcPr>
            <w:tcW w:type="dxa" w:w="3460"/>
          </w:tcPr>
          <w:p>
            <w:pPr>
              <w:widowControl/>
              <w:spacing w:after="0"/>
            </w:pPr>
            <w:r>
              <w:rPr>
                <w:rFonts w:ascii="Calibri" w:hAnsi="Calibri"/>
                <w:b w:val="0"/>
                <w:i w:val="0"/>
                <w:color w:val="172B4D"/>
                <w:sz w:val="16"/>
              </w:rPr>
              <w:t>Outcome narratives generated from agreed KPI definitions and verified evidence.</w:t>
            </w:r>
          </w:p>
        </w:tc>
      </w:tr>
    </w:tbl>
    <w:p>
      <w:pPr>
        <w:widowControl/>
        <w:spacing w:after="0"/>
      </w:pPr>
    </w:p>
    <w:p>
      <w:pPr>
        <w:pStyle w:val="Heading2"/>
        <w:widowControl/>
      </w:pPr>
      <w:r>
        <w:t>3.1 The differentiated proposition</w:t>
      </w:r>
    </w:p>
    <w:tbl>
      <w:tblPr>
        <w:tblW w:type="dxa" w:w="9360"/>
        <w:jc w:val="left"/>
        <w:tblLayout w:type="fixed"/>
        <w:tblLook w:firstColumn="1" w:firstRow="1" w:lastColumn="0" w:lastRow="0" w:noHBand="0" w:noVBand="1" w:val="04A0"/>
        <w:tblInd w:w="120" w:type="dxa"/>
        <w:tblBorders>
          <w:top w:val="single" w:sz="8" w:color="6657D9"/>
          <w:left w:val="single" w:sz="8" w:color="6657D9"/>
          <w:bottom w:val="single" w:sz="8" w:color="6657D9"/>
          <w:right w:val="single" w:sz="8" w:color="6657D9"/>
          <w:insideH w:val="single" w:sz="8" w:color="6657D9"/>
          <w:insideV w:val="single" w:sz="8" w:color="6657D9"/>
        </w:tblBorders>
      </w:tblPr>
      <w:tblGrid>
        <w:gridCol w:w="9360"/>
      </w:tblGrid>
      <w:tr>
        <w:tc>
          <w:tcPr>
            <w:tcW w:type="dxa" w:w="9360"/>
            <w:vAlign w:val="center"/>
            <w:tcMar>
              <w:top w:w="80" w:type="dxa"/>
              <w:start w:w="120" w:type="dxa"/>
              <w:bottom w:w="80" w:type="dxa"/>
              <w:end w:w="120" w:type="dxa"/>
            </w:tcMar>
            <w:shd w:fill="F0EEFB"/>
          </w:tcPr>
          <w:p>
            <w:pPr>
              <w:widowControl/>
              <w:spacing w:after="40"/>
            </w:pPr>
            <w:r>
              <w:rPr>
                <w:rFonts w:ascii="Calibri" w:hAnsi="Calibri"/>
                <w:b/>
                <w:i w:val="0"/>
                <w:color w:val="6657D9"/>
                <w:sz w:val="18"/>
              </w:rPr>
              <w:t>WHERE MI‑INSITE WINS</w:t>
            </w:r>
          </w:p>
          <w:p>
            <w:pPr>
              <w:widowControl/>
              <w:spacing w:after="40"/>
            </w:pPr>
            <w:r>
              <w:rPr>
                <w:rFonts w:ascii="Calibri" w:hAnsi="Calibri"/>
                <w:b/>
                <w:i w:val="0"/>
                <w:color w:val="172B4D"/>
                <w:sz w:val="22"/>
              </w:rPr>
              <w:t>Not by having the biggest raw database on day one, but by making media intelligence operational: every important signal can become an owned case, an approved response, an archived record and a measurable result.</w:t>
            </w:r>
          </w:p>
        </w:tc>
      </w:tr>
    </w:tbl>
    <w:p>
      <w:pPr>
        <w:widowControl/>
        <w:spacing w:after="0"/>
      </w:pPr>
    </w:p>
    <w:p>
      <w:pPr>
        <w:pStyle w:val="Heading1"/>
        <w:pageBreakBefore/>
        <w:widowControl/>
      </w:pPr>
      <w:r>
        <w:t>4. Product vision and design principles</w:t>
      </w:r>
    </w:p>
    <w:p>
      <w:pPr>
        <w:pStyle w:val="Heading2"/>
        <w:widowControl/>
      </w:pPr>
      <w:r>
        <w:t>4.1 Vision</w:t>
      </w:r>
    </w:p>
    <w:p>
      <w:pPr>
        <w:widowControl/>
      </w:pPr>
      <w:r>
        <w:rPr>
          <w:rFonts w:ascii="Calibri" w:hAnsi="Calibri"/>
          <w:b w:val="0"/>
          <w:i w:val="0"/>
          <w:color w:val="172B4D"/>
          <w:sz w:val="22"/>
        </w:rPr>
        <w:t>Mi‑Insite becomes the single communications workspace for agencies, public entities, publishers and enterprise teams that must understand public narratives, act quickly and account for what they did.</w:t>
      </w:r>
    </w:p>
    <w:p>
      <w:pPr>
        <w:pStyle w:val="Heading2"/>
        <w:widowControl/>
      </w:pPr>
      <w:r>
        <w:t>4.2 Design principles</w:t>
      </w:r>
    </w:p>
    <w:tbl>
      <w:tblPr>
        <w:tblW w:type="dxa" w:w="9360"/>
        <w:jc w:val="left"/>
        <w:tblLayout w:type="fixed"/>
        <w:tblLook w:firstColumn="1" w:firstRow="1" w:lastColumn="0" w:lastRow="0" w:noHBand="0" w:noVBand="1" w:val="04A0"/>
        <w:tblInd w:w="120" w:type="dxa"/>
        <w:tblBorders>
          <w:top w:val="single" w:sz="5" w:color="D0D5DD"/>
          <w:left w:val="single" w:sz="5" w:color="D0D5DD"/>
          <w:bottom w:val="single" w:sz="5" w:color="D0D5DD"/>
          <w:right w:val="single" w:sz="5" w:color="D0D5DD"/>
          <w:insideH w:val="single" w:sz="5" w:color="D0D5DD"/>
          <w:insideV w:val="single" w:sz="5" w:color="D0D5DD"/>
        </w:tblBorders>
      </w:tblPr>
      <w:tblGrid>
        <w:gridCol w:w="2100"/>
        <w:gridCol w:w="7260"/>
      </w:tblGrid>
      <w:tr>
        <w:trPr>
          <w:tblHeader w:val="true"/>
        </w:trPr>
        <w:tc>
          <w:tcPr>
            <w:tcW w:type="dxa" w:w="2100"/>
            <w:vAlign w:val="center"/>
            <w:tcMar>
              <w:top w:w="80" w:type="dxa"/>
              <w:start w:w="120" w:type="dxa"/>
              <w:bottom w:w="80" w:type="dxa"/>
              <w:end w:w="120" w:type="dxa"/>
            </w:tcMar>
            <w:shd w:fill="F2F4F7"/>
          </w:tcPr>
          <w:p>
            <w:pPr>
              <w:widowControl/>
              <w:spacing w:after="0"/>
            </w:pPr>
            <w:r>
              <w:rPr>
                <w:rFonts w:ascii="Calibri" w:hAnsi="Calibri"/>
                <w:b/>
                <w:i w:val="0"/>
                <w:color w:val="0B2545"/>
                <w:sz w:val="18"/>
              </w:rPr>
              <w:t>Principle</w:t>
            </w:r>
          </w:p>
        </w:tc>
        <w:tc>
          <w:tcPr>
            <w:tcW w:type="dxa" w:w="7260"/>
            <w:vAlign w:val="center"/>
            <w:tcMar>
              <w:top w:w="80" w:type="dxa"/>
              <w:start w:w="120" w:type="dxa"/>
              <w:bottom w:w="80" w:type="dxa"/>
              <w:end w:w="120" w:type="dxa"/>
            </w:tcMar>
            <w:shd w:fill="F2F4F7"/>
          </w:tcPr>
          <w:p>
            <w:pPr>
              <w:widowControl/>
              <w:spacing w:after="0"/>
            </w:pPr>
            <w:r>
              <w:rPr>
                <w:rFonts w:ascii="Calibri" w:hAnsi="Calibri"/>
                <w:b/>
                <w:i w:val="0"/>
                <w:color w:val="0B2545"/>
                <w:sz w:val="18"/>
              </w:rPr>
              <w:t>Product implication</w:t>
            </w:r>
          </w:p>
        </w:tc>
      </w:tr>
      <w:tr>
        <w:tc>
          <w:tcPr>
            <w:tcW w:type="dxa" w:w="2100"/>
          </w:tcPr>
          <w:p>
            <w:pPr>
              <w:widowControl/>
              <w:spacing w:after="0"/>
            </w:pPr>
            <w:r>
              <w:rPr>
                <w:rFonts w:ascii="Calibri" w:hAnsi="Calibri"/>
                <w:b w:val="0"/>
                <w:i w:val="0"/>
                <w:color w:val="172B4D"/>
                <w:sz w:val="18"/>
              </w:rPr>
              <w:t>Evidence before opinion</w:t>
            </w:r>
          </w:p>
        </w:tc>
        <w:tc>
          <w:tcPr>
            <w:tcW w:type="dxa" w:w="7260"/>
          </w:tcPr>
          <w:p>
            <w:pPr>
              <w:widowControl/>
              <w:spacing w:after="0"/>
            </w:pPr>
            <w:r>
              <w:rPr>
                <w:rFonts w:ascii="Calibri" w:hAnsi="Calibri"/>
                <w:b w:val="0"/>
                <w:i w:val="0"/>
                <w:color w:val="172B4D"/>
                <w:sz w:val="18"/>
              </w:rPr>
              <w:t>Every AI summary, score and recommendation links to representative source items and its calculation method.</w:t>
            </w:r>
          </w:p>
        </w:tc>
      </w:tr>
      <w:tr>
        <w:tc>
          <w:tcPr>
            <w:tcW w:type="dxa" w:w="2100"/>
          </w:tcPr>
          <w:p>
            <w:pPr>
              <w:widowControl/>
              <w:spacing w:after="0"/>
            </w:pPr>
            <w:r>
              <w:rPr>
                <w:rFonts w:ascii="Calibri" w:hAnsi="Calibri"/>
                <w:b w:val="0"/>
                <w:i w:val="0"/>
                <w:color w:val="172B4D"/>
                <w:sz w:val="18"/>
              </w:rPr>
              <w:t>Action is part of intelligence</w:t>
            </w:r>
          </w:p>
        </w:tc>
        <w:tc>
          <w:tcPr>
            <w:tcW w:type="dxa" w:w="7260"/>
          </w:tcPr>
          <w:p>
            <w:pPr>
              <w:widowControl/>
              <w:spacing w:after="0"/>
            </w:pPr>
            <w:r>
              <w:rPr>
                <w:rFonts w:ascii="Calibri" w:hAnsi="Calibri"/>
                <w:b w:val="0"/>
                <w:i w:val="0"/>
                <w:color w:val="172B4D"/>
                <w:sz w:val="18"/>
              </w:rPr>
              <w:t>A chart point can open mentions, create a case, assign an owner, request approval or draft a response.</w:t>
            </w:r>
          </w:p>
        </w:tc>
      </w:tr>
      <w:tr>
        <w:tc>
          <w:tcPr>
            <w:tcW w:type="dxa" w:w="2100"/>
          </w:tcPr>
          <w:p>
            <w:pPr>
              <w:widowControl/>
              <w:spacing w:after="0"/>
            </w:pPr>
            <w:r>
              <w:rPr>
                <w:rFonts w:ascii="Calibri" w:hAnsi="Calibri"/>
                <w:b w:val="0"/>
                <w:i w:val="0"/>
                <w:color w:val="172B4D"/>
                <w:sz w:val="18"/>
              </w:rPr>
              <w:t>One object, many views</w:t>
            </w:r>
          </w:p>
        </w:tc>
        <w:tc>
          <w:tcPr>
            <w:tcW w:type="dxa" w:w="7260"/>
          </w:tcPr>
          <w:p>
            <w:pPr>
              <w:widowControl/>
              <w:spacing w:after="0"/>
            </w:pPr>
            <w:r>
              <w:rPr>
                <w:rFonts w:ascii="Calibri" w:hAnsi="Calibri"/>
                <w:b w:val="0"/>
                <w:i w:val="0"/>
                <w:color w:val="172B4D"/>
                <w:sz w:val="18"/>
              </w:rPr>
              <w:t>The same mention, post, person, campaign and case is reused across monitoring, inbox, archive and reports.</w:t>
            </w:r>
          </w:p>
        </w:tc>
      </w:tr>
      <w:tr>
        <w:tc>
          <w:tcPr>
            <w:tcW w:type="dxa" w:w="2100"/>
          </w:tcPr>
          <w:p>
            <w:pPr>
              <w:widowControl/>
              <w:spacing w:after="0"/>
            </w:pPr>
            <w:r>
              <w:rPr>
                <w:rFonts w:ascii="Calibri" w:hAnsi="Calibri"/>
                <w:b w:val="0"/>
                <w:i w:val="0"/>
                <w:color w:val="172B4D"/>
                <w:sz w:val="18"/>
              </w:rPr>
              <w:t>Quiet by default</w:t>
            </w:r>
          </w:p>
        </w:tc>
        <w:tc>
          <w:tcPr>
            <w:tcW w:type="dxa" w:w="7260"/>
          </w:tcPr>
          <w:p>
            <w:pPr>
              <w:widowControl/>
              <w:spacing w:after="0"/>
            </w:pPr>
            <w:r>
              <w:rPr>
                <w:rFonts w:ascii="Calibri" w:hAnsi="Calibri"/>
                <w:b w:val="0"/>
                <w:i w:val="0"/>
                <w:color w:val="172B4D"/>
                <w:sz w:val="18"/>
              </w:rPr>
              <w:t>The home screen prioritises change, risk and required action; it does not display every metric.</w:t>
            </w:r>
          </w:p>
        </w:tc>
      </w:tr>
      <w:tr>
        <w:tc>
          <w:tcPr>
            <w:tcW w:type="dxa" w:w="2100"/>
          </w:tcPr>
          <w:p>
            <w:pPr>
              <w:widowControl/>
              <w:spacing w:after="0"/>
            </w:pPr>
            <w:r>
              <w:rPr>
                <w:rFonts w:ascii="Calibri" w:hAnsi="Calibri"/>
                <w:b w:val="0"/>
                <w:i w:val="0"/>
                <w:color w:val="172B4D"/>
                <w:sz w:val="18"/>
              </w:rPr>
              <w:t>Role-aware simplicity</w:t>
            </w:r>
          </w:p>
        </w:tc>
        <w:tc>
          <w:tcPr>
            <w:tcW w:type="dxa" w:w="7260"/>
          </w:tcPr>
          <w:p>
            <w:pPr>
              <w:widowControl/>
              <w:spacing w:after="0"/>
            </w:pPr>
            <w:r>
              <w:rPr>
                <w:rFonts w:ascii="Calibri" w:hAnsi="Calibri"/>
                <w:b w:val="0"/>
                <w:i w:val="0"/>
                <w:color w:val="172B4D"/>
                <w:sz w:val="18"/>
              </w:rPr>
              <w:t>Executives, analysts, community managers and clients see different defaults without using separate systems.</w:t>
            </w:r>
          </w:p>
        </w:tc>
      </w:tr>
      <w:tr>
        <w:tc>
          <w:tcPr>
            <w:tcW w:type="dxa" w:w="2100"/>
          </w:tcPr>
          <w:p>
            <w:pPr>
              <w:widowControl/>
              <w:spacing w:after="0"/>
            </w:pPr>
            <w:r>
              <w:rPr>
                <w:rFonts w:ascii="Calibri" w:hAnsi="Calibri"/>
                <w:b w:val="0"/>
                <w:i w:val="0"/>
                <w:color w:val="172B4D"/>
                <w:sz w:val="18"/>
              </w:rPr>
              <w:t>Human control over AI</w:t>
            </w:r>
          </w:p>
        </w:tc>
        <w:tc>
          <w:tcPr>
            <w:tcW w:type="dxa" w:w="7260"/>
          </w:tcPr>
          <w:p>
            <w:pPr>
              <w:widowControl/>
              <w:spacing w:after="0"/>
            </w:pPr>
            <w:r>
              <w:rPr>
                <w:rFonts w:ascii="Calibri" w:hAnsi="Calibri"/>
                <w:b w:val="0"/>
                <w:i w:val="0"/>
                <w:color w:val="172B4D"/>
                <w:sz w:val="18"/>
              </w:rPr>
              <w:t>AI suggests and summarises; designated users approve external communications and sensitive classifications.</w:t>
            </w:r>
          </w:p>
        </w:tc>
      </w:tr>
      <w:tr>
        <w:tc>
          <w:tcPr>
            <w:tcW w:type="dxa" w:w="2100"/>
          </w:tcPr>
          <w:p>
            <w:pPr>
              <w:widowControl/>
              <w:spacing w:after="0"/>
            </w:pPr>
            <w:r>
              <w:rPr>
                <w:rFonts w:ascii="Calibri" w:hAnsi="Calibri"/>
                <w:b w:val="0"/>
                <w:i w:val="0"/>
                <w:color w:val="172B4D"/>
                <w:sz w:val="18"/>
              </w:rPr>
              <w:t>Metric transparency</w:t>
            </w:r>
          </w:p>
        </w:tc>
        <w:tc>
          <w:tcPr>
            <w:tcW w:type="dxa" w:w="7260"/>
          </w:tcPr>
          <w:p>
            <w:pPr>
              <w:widowControl/>
              <w:spacing w:after="0"/>
            </w:pPr>
            <w:r>
              <w:rPr>
                <w:rFonts w:ascii="Calibri" w:hAnsi="Calibri"/>
                <w:b w:val="0"/>
                <w:i w:val="0"/>
                <w:color w:val="172B4D"/>
                <w:sz w:val="18"/>
              </w:rPr>
              <w:t>Every KPI has a formula, data sources, inclusion rules, owner, target and caveats.</w:t>
            </w:r>
          </w:p>
        </w:tc>
      </w:tr>
      <w:tr>
        <w:tc>
          <w:tcPr>
            <w:tcW w:type="dxa" w:w="2100"/>
          </w:tcPr>
          <w:p>
            <w:pPr>
              <w:widowControl/>
              <w:spacing w:after="0"/>
            </w:pPr>
            <w:r>
              <w:rPr>
                <w:rFonts w:ascii="Calibri" w:hAnsi="Calibri"/>
                <w:b w:val="0"/>
                <w:i w:val="0"/>
                <w:color w:val="172B4D"/>
                <w:sz w:val="18"/>
              </w:rPr>
              <w:t>Connector independence</w:t>
            </w:r>
          </w:p>
        </w:tc>
        <w:tc>
          <w:tcPr>
            <w:tcW w:type="dxa" w:w="7260"/>
          </w:tcPr>
          <w:p>
            <w:pPr>
              <w:widowControl/>
              <w:spacing w:after="0"/>
            </w:pPr>
            <w:r>
              <w:rPr>
                <w:rFonts w:ascii="Calibri" w:hAnsi="Calibri"/>
                <w:b w:val="0"/>
                <w:i w:val="0"/>
                <w:color w:val="172B4D"/>
                <w:sz w:val="18"/>
              </w:rPr>
              <w:t>Source adapters are replaceable; a licence change should not break the user experience or data model.</w:t>
            </w:r>
          </w:p>
        </w:tc>
      </w:tr>
      <w:tr>
        <w:tc>
          <w:tcPr>
            <w:tcW w:type="dxa" w:w="2100"/>
          </w:tcPr>
          <w:p>
            <w:pPr>
              <w:widowControl/>
              <w:spacing w:after="0"/>
            </w:pPr>
            <w:r>
              <w:rPr>
                <w:rFonts w:ascii="Calibri" w:hAnsi="Calibri"/>
                <w:b w:val="0"/>
                <w:i w:val="0"/>
                <w:color w:val="172B4D"/>
                <w:sz w:val="18"/>
              </w:rPr>
              <w:t>Compliance by design</w:t>
            </w:r>
          </w:p>
        </w:tc>
        <w:tc>
          <w:tcPr>
            <w:tcW w:type="dxa" w:w="7260"/>
          </w:tcPr>
          <w:p>
            <w:pPr>
              <w:widowControl/>
              <w:spacing w:after="0"/>
            </w:pPr>
            <w:r>
              <w:rPr>
                <w:rFonts w:ascii="Calibri" w:hAnsi="Calibri"/>
                <w:b w:val="0"/>
                <w:i w:val="0"/>
                <w:color w:val="172B4D"/>
                <w:sz w:val="18"/>
              </w:rPr>
              <w:t>Retention, redaction, audit, consent and export are core platform services rather than afterthoughts.</w:t>
            </w:r>
          </w:p>
        </w:tc>
      </w:tr>
      <w:tr>
        <w:tc>
          <w:tcPr>
            <w:tcW w:type="dxa" w:w="2100"/>
          </w:tcPr>
          <w:p>
            <w:pPr>
              <w:widowControl/>
              <w:spacing w:after="0"/>
            </w:pPr>
            <w:r>
              <w:rPr>
                <w:rFonts w:ascii="Calibri" w:hAnsi="Calibri"/>
                <w:b w:val="0"/>
                <w:i w:val="0"/>
                <w:color w:val="172B4D"/>
                <w:sz w:val="18"/>
              </w:rPr>
              <w:t>South Africa first, globally extensible</w:t>
            </w:r>
          </w:p>
        </w:tc>
        <w:tc>
          <w:tcPr>
            <w:tcW w:type="dxa" w:w="7260"/>
          </w:tcPr>
          <w:p>
            <w:pPr>
              <w:widowControl/>
              <w:spacing w:after="0"/>
            </w:pPr>
            <w:r>
              <w:rPr>
                <w:rFonts w:ascii="Calibri" w:hAnsi="Calibri"/>
                <w:b w:val="0"/>
                <w:i w:val="0"/>
                <w:color w:val="172B4D"/>
                <w:sz w:val="18"/>
              </w:rPr>
              <w:t>Local publications, provincial views, multilingual analysis and POPIA support are built into the model.</w:t>
            </w:r>
          </w:p>
        </w:tc>
      </w:tr>
    </w:tbl>
    <w:p>
      <w:pPr>
        <w:widowControl/>
        <w:spacing w:after="0"/>
      </w:pPr>
    </w:p>
    <w:p>
      <w:pPr>
        <w:pStyle w:val="Heading1"/>
        <w:pageBreakBefore/>
        <w:widowControl/>
      </w:pPr>
      <w:r>
        <w:t>5. Target users and jobs-to-be-done</w:t>
      </w:r>
    </w:p>
    <w:tbl>
      <w:tblPr>
        <w:tblW w:type="dxa" w:w="9360"/>
        <w:jc w:val="left"/>
        <w:tblLayout w:type="fixed"/>
        <w:tblLook w:firstColumn="1" w:firstRow="1" w:lastColumn="0" w:lastRow="0" w:noHBand="0" w:noVBand="1" w:val="04A0"/>
        <w:tblInd w:w="120" w:type="dxa"/>
        <w:tblBorders>
          <w:top w:val="single" w:sz="5" w:color="D0D5DD"/>
          <w:left w:val="single" w:sz="5" w:color="D0D5DD"/>
          <w:bottom w:val="single" w:sz="5" w:color="D0D5DD"/>
          <w:right w:val="single" w:sz="5" w:color="D0D5DD"/>
          <w:insideH w:val="single" w:sz="5" w:color="D0D5DD"/>
          <w:insideV w:val="single" w:sz="5" w:color="D0D5DD"/>
        </w:tblBorders>
      </w:tblPr>
      <w:tblGrid>
        <w:gridCol w:w="1800"/>
        <w:gridCol w:w="3700"/>
        <w:gridCol w:w="3860"/>
      </w:tblGrid>
      <w:tr>
        <w:trPr>
          <w:tblHeader w:val="true"/>
        </w:trPr>
        <w:tc>
          <w:tcPr>
            <w:tcW w:type="dxa" w:w="1800"/>
            <w:vAlign w:val="center"/>
            <w:tcMar>
              <w:top w:w="80" w:type="dxa"/>
              <w:start w:w="120" w:type="dxa"/>
              <w:bottom w:w="80" w:type="dxa"/>
              <w:end w:w="120" w:type="dxa"/>
            </w:tcMar>
            <w:shd w:fill="F2F4F7"/>
          </w:tcPr>
          <w:p>
            <w:pPr>
              <w:widowControl/>
              <w:spacing w:after="0"/>
            </w:pPr>
            <w:r>
              <w:rPr>
                <w:rFonts w:ascii="Calibri" w:hAnsi="Calibri"/>
                <w:b/>
                <w:i w:val="0"/>
                <w:color w:val="0B2545"/>
                <w:sz w:val="18"/>
              </w:rPr>
              <w:t>User</w:t>
            </w:r>
          </w:p>
        </w:tc>
        <w:tc>
          <w:tcPr>
            <w:tcW w:type="dxa" w:w="3700"/>
            <w:vAlign w:val="center"/>
            <w:tcMar>
              <w:top w:w="80" w:type="dxa"/>
              <w:start w:w="120" w:type="dxa"/>
              <w:bottom w:w="80" w:type="dxa"/>
              <w:end w:w="120" w:type="dxa"/>
            </w:tcMar>
            <w:shd w:fill="F2F4F7"/>
          </w:tcPr>
          <w:p>
            <w:pPr>
              <w:widowControl/>
              <w:spacing w:after="0"/>
            </w:pPr>
            <w:r>
              <w:rPr>
                <w:rFonts w:ascii="Calibri" w:hAnsi="Calibri"/>
                <w:b/>
                <w:i w:val="0"/>
                <w:color w:val="0B2545"/>
                <w:sz w:val="18"/>
              </w:rPr>
              <w:t>Primary job</w:t>
            </w:r>
          </w:p>
        </w:tc>
        <w:tc>
          <w:tcPr>
            <w:tcW w:type="dxa" w:w="3860"/>
            <w:vAlign w:val="center"/>
            <w:tcMar>
              <w:top w:w="80" w:type="dxa"/>
              <w:start w:w="120" w:type="dxa"/>
              <w:bottom w:w="80" w:type="dxa"/>
              <w:end w:w="120" w:type="dxa"/>
            </w:tcMar>
            <w:shd w:fill="F2F4F7"/>
          </w:tcPr>
          <w:p>
            <w:pPr>
              <w:widowControl/>
              <w:spacing w:after="0"/>
            </w:pPr>
            <w:r>
              <w:rPr>
                <w:rFonts w:ascii="Calibri" w:hAnsi="Calibri"/>
                <w:b/>
                <w:i w:val="0"/>
                <w:color w:val="0B2545"/>
                <w:sz w:val="18"/>
              </w:rPr>
              <w:t>What success looks like</w:t>
            </w:r>
          </w:p>
        </w:tc>
      </w:tr>
      <w:tr>
        <w:tc>
          <w:tcPr>
            <w:tcW w:type="dxa" w:w="1800"/>
          </w:tcPr>
          <w:p>
            <w:pPr>
              <w:widowControl/>
              <w:spacing w:after="0"/>
            </w:pPr>
            <w:r>
              <w:rPr>
                <w:rFonts w:ascii="Calibri" w:hAnsi="Calibri"/>
                <w:b w:val="0"/>
                <w:i w:val="0"/>
                <w:color w:val="172B4D"/>
                <w:sz w:val="18"/>
              </w:rPr>
              <w:t>Executive / client sponsor</w:t>
            </w:r>
          </w:p>
        </w:tc>
        <w:tc>
          <w:tcPr>
            <w:tcW w:type="dxa" w:w="3700"/>
          </w:tcPr>
          <w:p>
            <w:pPr>
              <w:widowControl/>
              <w:spacing w:after="0"/>
            </w:pPr>
            <w:r>
              <w:rPr>
                <w:rFonts w:ascii="Calibri" w:hAnsi="Calibri"/>
                <w:b w:val="0"/>
                <w:i w:val="0"/>
                <w:color w:val="172B4D"/>
                <w:sz w:val="18"/>
              </w:rPr>
              <w:t>Understand reputation and whether strategy is working.</w:t>
            </w:r>
          </w:p>
        </w:tc>
        <w:tc>
          <w:tcPr>
            <w:tcW w:type="dxa" w:w="3860"/>
          </w:tcPr>
          <w:p>
            <w:pPr>
              <w:widowControl/>
              <w:spacing w:after="0"/>
            </w:pPr>
            <w:r>
              <w:rPr>
                <w:rFonts w:ascii="Calibri" w:hAnsi="Calibri"/>
                <w:b w:val="0"/>
                <w:i w:val="0"/>
                <w:color w:val="172B4D"/>
                <w:sz w:val="18"/>
              </w:rPr>
              <w:t>A five-minute brief with risk, movement, causes, response status and KPI variance.</w:t>
            </w:r>
          </w:p>
        </w:tc>
      </w:tr>
      <w:tr>
        <w:tc>
          <w:tcPr>
            <w:tcW w:type="dxa" w:w="1800"/>
          </w:tcPr>
          <w:p>
            <w:pPr>
              <w:widowControl/>
              <w:spacing w:after="0"/>
            </w:pPr>
            <w:r>
              <w:rPr>
                <w:rFonts w:ascii="Calibri" w:hAnsi="Calibri"/>
                <w:b w:val="0"/>
                <w:i w:val="0"/>
                <w:color w:val="172B4D"/>
                <w:sz w:val="18"/>
              </w:rPr>
              <w:t>Comms / PR lead</w:t>
            </w:r>
          </w:p>
        </w:tc>
        <w:tc>
          <w:tcPr>
            <w:tcW w:type="dxa" w:w="3700"/>
          </w:tcPr>
          <w:p>
            <w:pPr>
              <w:widowControl/>
              <w:spacing w:after="0"/>
            </w:pPr>
            <w:r>
              <w:rPr>
                <w:rFonts w:ascii="Calibri" w:hAnsi="Calibri"/>
                <w:b w:val="0"/>
                <w:i w:val="0"/>
                <w:color w:val="172B4D"/>
                <w:sz w:val="18"/>
              </w:rPr>
              <w:t>Monitor media, manage issues and prove earned-media impact.</w:t>
            </w:r>
          </w:p>
        </w:tc>
        <w:tc>
          <w:tcPr>
            <w:tcW w:type="dxa" w:w="3860"/>
          </w:tcPr>
          <w:p>
            <w:pPr>
              <w:widowControl/>
              <w:spacing w:after="0"/>
            </w:pPr>
            <w:r>
              <w:rPr>
                <w:rFonts w:ascii="Calibri" w:hAnsi="Calibri"/>
                <w:b w:val="0"/>
                <w:i w:val="0"/>
                <w:color w:val="172B4D"/>
                <w:sz w:val="18"/>
              </w:rPr>
              <w:t>Fast alerts, reliable coverage, narrative analysis, media lists and board-ready reports.</w:t>
            </w:r>
          </w:p>
        </w:tc>
      </w:tr>
      <w:tr>
        <w:tc>
          <w:tcPr>
            <w:tcW w:type="dxa" w:w="1800"/>
          </w:tcPr>
          <w:p>
            <w:pPr>
              <w:widowControl/>
              <w:spacing w:after="0"/>
            </w:pPr>
            <w:r>
              <w:rPr>
                <w:rFonts w:ascii="Calibri" w:hAnsi="Calibri"/>
                <w:b w:val="0"/>
                <w:i w:val="0"/>
                <w:color w:val="172B4D"/>
                <w:sz w:val="18"/>
              </w:rPr>
              <w:t>Social media manager</w:t>
            </w:r>
          </w:p>
        </w:tc>
        <w:tc>
          <w:tcPr>
            <w:tcW w:type="dxa" w:w="3700"/>
          </w:tcPr>
          <w:p>
            <w:pPr>
              <w:widowControl/>
              <w:spacing w:after="0"/>
            </w:pPr>
            <w:r>
              <w:rPr>
                <w:rFonts w:ascii="Calibri" w:hAnsi="Calibri"/>
                <w:b w:val="0"/>
                <w:i w:val="0"/>
                <w:color w:val="172B4D"/>
                <w:sz w:val="18"/>
              </w:rPr>
              <w:t>Plan content, engage communities and improve performance.</w:t>
            </w:r>
          </w:p>
        </w:tc>
        <w:tc>
          <w:tcPr>
            <w:tcW w:type="dxa" w:w="3860"/>
          </w:tcPr>
          <w:p>
            <w:pPr>
              <w:widowControl/>
              <w:spacing w:after="0"/>
            </w:pPr>
            <w:r>
              <w:rPr>
                <w:rFonts w:ascii="Calibri" w:hAnsi="Calibri"/>
                <w:b w:val="0"/>
                <w:i w:val="0"/>
                <w:color w:val="172B4D"/>
                <w:sz w:val="18"/>
              </w:rPr>
              <w:t>One calendar, one inbox, approvals, response SLAs and cross-network analytics.</w:t>
            </w:r>
          </w:p>
        </w:tc>
      </w:tr>
      <w:tr>
        <w:tc>
          <w:tcPr>
            <w:tcW w:type="dxa" w:w="1800"/>
          </w:tcPr>
          <w:p>
            <w:pPr>
              <w:widowControl/>
              <w:spacing w:after="0"/>
            </w:pPr>
            <w:r>
              <w:rPr>
                <w:rFonts w:ascii="Calibri" w:hAnsi="Calibri"/>
                <w:b w:val="0"/>
                <w:i w:val="0"/>
                <w:color w:val="172B4D"/>
                <w:sz w:val="18"/>
              </w:rPr>
              <w:t>Media analyst</w:t>
            </w:r>
          </w:p>
        </w:tc>
        <w:tc>
          <w:tcPr>
            <w:tcW w:type="dxa" w:w="3700"/>
          </w:tcPr>
          <w:p>
            <w:pPr>
              <w:widowControl/>
              <w:spacing w:after="0"/>
            </w:pPr>
            <w:r>
              <w:rPr>
                <w:rFonts w:ascii="Calibri" w:hAnsi="Calibri"/>
                <w:b w:val="0"/>
                <w:i w:val="0"/>
                <w:color w:val="172B4D"/>
                <w:sz w:val="18"/>
              </w:rPr>
              <w:t>Build queries, validate data and uncover trends.</w:t>
            </w:r>
          </w:p>
        </w:tc>
        <w:tc>
          <w:tcPr>
            <w:tcW w:type="dxa" w:w="3860"/>
          </w:tcPr>
          <w:p>
            <w:pPr>
              <w:widowControl/>
              <w:spacing w:after="0"/>
            </w:pPr>
            <w:r>
              <w:rPr>
                <w:rFonts w:ascii="Calibri" w:hAnsi="Calibri"/>
                <w:b w:val="0"/>
                <w:i w:val="0"/>
                <w:color w:val="172B4D"/>
                <w:sz w:val="18"/>
              </w:rPr>
              <w:t>Flexible search, tagging, deduplication, source transparency and reproducible dashboards.</w:t>
            </w:r>
          </w:p>
        </w:tc>
      </w:tr>
      <w:tr>
        <w:tc>
          <w:tcPr>
            <w:tcW w:type="dxa" w:w="1800"/>
          </w:tcPr>
          <w:p>
            <w:pPr>
              <w:widowControl/>
              <w:spacing w:after="0"/>
            </w:pPr>
            <w:r>
              <w:rPr>
                <w:rFonts w:ascii="Calibri" w:hAnsi="Calibri"/>
                <w:b w:val="0"/>
                <w:i w:val="0"/>
                <w:color w:val="172B4D"/>
                <w:sz w:val="18"/>
              </w:rPr>
              <w:t>Community manager</w:t>
            </w:r>
          </w:p>
        </w:tc>
        <w:tc>
          <w:tcPr>
            <w:tcW w:type="dxa" w:w="3700"/>
          </w:tcPr>
          <w:p>
            <w:pPr>
              <w:widowControl/>
              <w:spacing w:after="0"/>
            </w:pPr>
            <w:r>
              <w:rPr>
                <w:rFonts w:ascii="Calibri" w:hAnsi="Calibri"/>
                <w:b w:val="0"/>
                <w:i w:val="0"/>
                <w:color w:val="172B4D"/>
                <w:sz w:val="18"/>
              </w:rPr>
              <w:t>Respond accurately and consistently at volume.</w:t>
            </w:r>
          </w:p>
        </w:tc>
        <w:tc>
          <w:tcPr>
            <w:tcW w:type="dxa" w:w="3860"/>
          </w:tcPr>
          <w:p>
            <w:pPr>
              <w:widowControl/>
              <w:spacing w:after="0"/>
            </w:pPr>
            <w:r>
              <w:rPr>
                <w:rFonts w:ascii="Calibri" w:hAnsi="Calibri"/>
                <w:b w:val="0"/>
                <w:i w:val="0"/>
                <w:color w:val="172B4D"/>
                <w:sz w:val="18"/>
              </w:rPr>
              <w:t>Prioritised cases, context, templates, assignments, notes and escalation playbooks.</w:t>
            </w:r>
          </w:p>
        </w:tc>
      </w:tr>
      <w:tr>
        <w:tc>
          <w:tcPr>
            <w:tcW w:type="dxa" w:w="1800"/>
          </w:tcPr>
          <w:p>
            <w:pPr>
              <w:widowControl/>
              <w:spacing w:after="0"/>
            </w:pPr>
            <w:r>
              <w:rPr>
                <w:rFonts w:ascii="Calibri" w:hAnsi="Calibri"/>
                <w:b w:val="0"/>
                <w:i w:val="0"/>
                <w:color w:val="172B4D"/>
                <w:sz w:val="18"/>
              </w:rPr>
              <w:t>Campaign manager</w:t>
            </w:r>
          </w:p>
        </w:tc>
        <w:tc>
          <w:tcPr>
            <w:tcW w:type="dxa" w:w="3700"/>
          </w:tcPr>
          <w:p>
            <w:pPr>
              <w:widowControl/>
              <w:spacing w:after="0"/>
            </w:pPr>
            <w:r>
              <w:rPr>
                <w:rFonts w:ascii="Calibri" w:hAnsi="Calibri"/>
                <w:b w:val="0"/>
                <w:i w:val="0"/>
                <w:color w:val="172B4D"/>
                <w:sz w:val="18"/>
              </w:rPr>
              <w:t>Coordinate owned, earned, paid and influencer activity.</w:t>
            </w:r>
          </w:p>
        </w:tc>
        <w:tc>
          <w:tcPr>
            <w:tcW w:type="dxa" w:w="3860"/>
          </w:tcPr>
          <w:p>
            <w:pPr>
              <w:widowControl/>
              <w:spacing w:after="0"/>
            </w:pPr>
            <w:r>
              <w:rPr>
                <w:rFonts w:ascii="Calibri" w:hAnsi="Calibri"/>
                <w:b w:val="0"/>
                <w:i w:val="0"/>
                <w:color w:val="172B4D"/>
                <w:sz w:val="18"/>
              </w:rPr>
              <w:t>Campaign workspace joining content, mentions, spend, outputs, KPIs and report narrative.</w:t>
            </w:r>
          </w:p>
        </w:tc>
      </w:tr>
      <w:tr>
        <w:tc>
          <w:tcPr>
            <w:tcW w:type="dxa" w:w="1800"/>
          </w:tcPr>
          <w:p>
            <w:pPr>
              <w:widowControl/>
              <w:spacing w:after="0"/>
            </w:pPr>
            <w:r>
              <w:rPr>
                <w:rFonts w:ascii="Calibri" w:hAnsi="Calibri"/>
                <w:b w:val="0"/>
                <w:i w:val="0"/>
                <w:color w:val="172B4D"/>
                <w:sz w:val="18"/>
              </w:rPr>
              <w:t>Records / compliance officer</w:t>
            </w:r>
          </w:p>
        </w:tc>
        <w:tc>
          <w:tcPr>
            <w:tcW w:type="dxa" w:w="3700"/>
          </w:tcPr>
          <w:p>
            <w:pPr>
              <w:widowControl/>
              <w:spacing w:after="0"/>
            </w:pPr>
            <w:r>
              <w:rPr>
                <w:rFonts w:ascii="Calibri" w:hAnsi="Calibri"/>
                <w:b w:val="0"/>
                <w:i w:val="0"/>
                <w:color w:val="172B4D"/>
                <w:sz w:val="18"/>
              </w:rPr>
              <w:t>Preserve communication evidence and manage retention.</w:t>
            </w:r>
          </w:p>
        </w:tc>
        <w:tc>
          <w:tcPr>
            <w:tcW w:type="dxa" w:w="3860"/>
          </w:tcPr>
          <w:p>
            <w:pPr>
              <w:widowControl/>
              <w:spacing w:after="0"/>
            </w:pPr>
            <w:r>
              <w:rPr>
                <w:rFonts w:ascii="Calibri" w:hAnsi="Calibri"/>
                <w:b w:val="0"/>
                <w:i w:val="0"/>
                <w:color w:val="172B4D"/>
                <w:sz w:val="18"/>
              </w:rPr>
              <w:t>Searchable immutable snapshots, audit history, holds, exports and deletion controls.</w:t>
            </w:r>
          </w:p>
        </w:tc>
      </w:tr>
      <w:tr>
        <w:tc>
          <w:tcPr>
            <w:tcW w:type="dxa" w:w="1800"/>
          </w:tcPr>
          <w:p>
            <w:pPr>
              <w:widowControl/>
              <w:spacing w:after="0"/>
            </w:pPr>
            <w:r>
              <w:rPr>
                <w:rFonts w:ascii="Calibri" w:hAnsi="Calibri"/>
                <w:b w:val="0"/>
                <w:i w:val="0"/>
                <w:color w:val="172B4D"/>
                <w:sz w:val="18"/>
              </w:rPr>
              <w:t>Agency administrator</w:t>
            </w:r>
          </w:p>
        </w:tc>
        <w:tc>
          <w:tcPr>
            <w:tcW w:type="dxa" w:w="3700"/>
          </w:tcPr>
          <w:p>
            <w:pPr>
              <w:widowControl/>
              <w:spacing w:after="0"/>
            </w:pPr>
            <w:r>
              <w:rPr>
                <w:rFonts w:ascii="Calibri" w:hAnsi="Calibri"/>
                <w:b w:val="0"/>
                <w:i w:val="0"/>
                <w:color w:val="172B4D"/>
                <w:sz w:val="18"/>
              </w:rPr>
              <w:t>Operate multiple clients safely and profitably.</w:t>
            </w:r>
          </w:p>
        </w:tc>
        <w:tc>
          <w:tcPr>
            <w:tcW w:type="dxa" w:w="3860"/>
          </w:tcPr>
          <w:p>
            <w:pPr>
              <w:widowControl/>
              <w:spacing w:after="0"/>
            </w:pPr>
            <w:r>
              <w:rPr>
                <w:rFonts w:ascii="Calibri" w:hAnsi="Calibri"/>
                <w:b w:val="0"/>
                <w:i w:val="0"/>
                <w:color w:val="172B4D"/>
                <w:sz w:val="18"/>
              </w:rPr>
              <w:t>Tenant separation, reusable templates, usage controls, white-labelling and client access.</w:t>
            </w:r>
          </w:p>
        </w:tc>
      </w:tr>
    </w:tbl>
    <w:p>
      <w:pPr>
        <w:widowControl/>
        <w:spacing w:after="0"/>
      </w:pPr>
    </w:p>
    <w:p>
      <w:pPr>
        <w:pStyle w:val="Heading1"/>
        <w:pageBreakBefore/>
        <w:widowControl/>
      </w:pPr>
      <w:r>
        <w:t>6. Information architecture and navigation</w:t>
      </w:r>
    </w:p>
    <w:p>
      <w:pPr>
        <w:widowControl/>
      </w:pPr>
      <w:r>
        <w:rPr>
          <w:rFonts w:ascii="Calibri" w:hAnsi="Calibri"/>
          <w:b w:val="0"/>
          <w:i w:val="0"/>
          <w:color w:val="172B4D"/>
          <w:sz w:val="22"/>
        </w:rPr>
        <w:t>The global layout should use a persistent left rail, a compact context bar, a flexible working canvas and a right-side evidence/action drawer. The user should be able to move from signal to response without losing the selected item.</w:t>
      </w:r>
    </w:p>
    <w:tbl>
      <w:tblPr>
        <w:tblW w:type="dxa" w:w="9360"/>
        <w:jc w:val="left"/>
        <w:tblLayout w:type="fixed"/>
        <w:tblLook w:firstColumn="1" w:firstRow="1" w:lastColumn="0" w:lastRow="0" w:noHBand="0" w:noVBand="1" w:val="04A0"/>
        <w:tblInd w:w="120" w:type="dxa"/>
        <w:tblBorders>
          <w:top w:val="single" w:sz="5" w:color="D0D5DD"/>
          <w:left w:val="single" w:sz="5" w:color="D0D5DD"/>
          <w:bottom w:val="single" w:sz="5" w:color="D0D5DD"/>
          <w:right w:val="single" w:sz="5" w:color="D0D5DD"/>
          <w:insideH w:val="single" w:sz="5" w:color="D0D5DD"/>
          <w:insideV w:val="single" w:sz="5" w:color="D0D5DD"/>
        </w:tblBorders>
      </w:tblPr>
      <w:tblGrid>
        <w:gridCol w:w="1600"/>
        <w:gridCol w:w="3300"/>
        <w:gridCol w:w="4460"/>
      </w:tblGrid>
      <w:tr>
        <w:trPr>
          <w:tblHeader w:val="true"/>
        </w:trPr>
        <w:tc>
          <w:tcPr>
            <w:tcW w:type="dxa" w:w="1600"/>
            <w:vAlign w:val="center"/>
            <w:tcMar>
              <w:top w:w="80" w:type="dxa"/>
              <w:start w:w="120" w:type="dxa"/>
              <w:bottom w:w="80" w:type="dxa"/>
              <w:end w:w="120" w:type="dxa"/>
            </w:tcMar>
            <w:shd w:fill="F2F4F7"/>
          </w:tcPr>
          <w:p>
            <w:pPr>
              <w:widowControl/>
              <w:spacing w:after="0"/>
            </w:pPr>
            <w:r>
              <w:rPr>
                <w:rFonts w:ascii="Calibri" w:hAnsi="Calibri"/>
                <w:b/>
                <w:i w:val="0"/>
                <w:color w:val="0B2545"/>
                <w:sz w:val="18"/>
              </w:rPr>
              <w:t>Navigation item</w:t>
            </w:r>
          </w:p>
        </w:tc>
        <w:tc>
          <w:tcPr>
            <w:tcW w:type="dxa" w:w="3300"/>
            <w:vAlign w:val="center"/>
            <w:tcMar>
              <w:top w:w="80" w:type="dxa"/>
              <w:start w:w="120" w:type="dxa"/>
              <w:bottom w:w="80" w:type="dxa"/>
              <w:end w:w="120" w:type="dxa"/>
            </w:tcMar>
            <w:shd w:fill="F2F4F7"/>
          </w:tcPr>
          <w:p>
            <w:pPr>
              <w:widowControl/>
              <w:spacing w:after="0"/>
            </w:pPr>
            <w:r>
              <w:rPr>
                <w:rFonts w:ascii="Calibri" w:hAnsi="Calibri"/>
                <w:b/>
                <w:i w:val="0"/>
                <w:color w:val="0B2545"/>
                <w:sz w:val="18"/>
              </w:rPr>
              <w:t>Purpose</w:t>
            </w:r>
          </w:p>
        </w:tc>
        <w:tc>
          <w:tcPr>
            <w:tcW w:type="dxa" w:w="4460"/>
            <w:vAlign w:val="center"/>
            <w:tcMar>
              <w:top w:w="80" w:type="dxa"/>
              <w:start w:w="120" w:type="dxa"/>
              <w:bottom w:w="80" w:type="dxa"/>
              <w:end w:w="120" w:type="dxa"/>
            </w:tcMar>
            <w:shd w:fill="F2F4F7"/>
          </w:tcPr>
          <w:p>
            <w:pPr>
              <w:widowControl/>
              <w:spacing w:after="0"/>
            </w:pPr>
            <w:r>
              <w:rPr>
                <w:rFonts w:ascii="Calibri" w:hAnsi="Calibri"/>
                <w:b/>
                <w:i w:val="0"/>
                <w:color w:val="0B2545"/>
                <w:sz w:val="18"/>
              </w:rPr>
              <w:t>Primary objects</w:t>
            </w:r>
          </w:p>
        </w:tc>
      </w:tr>
      <w:tr>
        <w:tc>
          <w:tcPr>
            <w:tcW w:type="dxa" w:w="1600"/>
          </w:tcPr>
          <w:p>
            <w:pPr>
              <w:widowControl/>
              <w:spacing w:after="0"/>
            </w:pPr>
            <w:r>
              <w:rPr>
                <w:rFonts w:ascii="Calibri" w:hAnsi="Calibri"/>
                <w:b w:val="0"/>
                <w:i w:val="0"/>
                <w:color w:val="172B4D"/>
                <w:sz w:val="18"/>
              </w:rPr>
              <w:t>Home</w:t>
            </w:r>
          </w:p>
        </w:tc>
        <w:tc>
          <w:tcPr>
            <w:tcW w:type="dxa" w:w="3300"/>
          </w:tcPr>
          <w:p>
            <w:pPr>
              <w:widowControl/>
              <w:spacing w:after="0"/>
            </w:pPr>
            <w:r>
              <w:rPr>
                <w:rFonts w:ascii="Calibri" w:hAnsi="Calibri"/>
                <w:b w:val="0"/>
                <w:i w:val="0"/>
                <w:color w:val="172B4D"/>
                <w:sz w:val="18"/>
              </w:rPr>
              <w:t>Role-specific command centre and daily brief.</w:t>
            </w:r>
          </w:p>
        </w:tc>
        <w:tc>
          <w:tcPr>
            <w:tcW w:type="dxa" w:w="4460"/>
          </w:tcPr>
          <w:p>
            <w:pPr>
              <w:widowControl/>
              <w:spacing w:after="0"/>
            </w:pPr>
            <w:r>
              <w:rPr>
                <w:rFonts w:ascii="Calibri" w:hAnsi="Calibri"/>
                <w:b w:val="0"/>
                <w:i w:val="0"/>
                <w:color w:val="172B4D"/>
                <w:sz w:val="18"/>
              </w:rPr>
              <w:t>Alerts, KPI cards, cases, scheduled content, saved views.</w:t>
            </w:r>
          </w:p>
        </w:tc>
      </w:tr>
      <w:tr>
        <w:tc>
          <w:tcPr>
            <w:tcW w:type="dxa" w:w="1600"/>
          </w:tcPr>
          <w:p>
            <w:pPr>
              <w:widowControl/>
              <w:spacing w:after="0"/>
            </w:pPr>
            <w:r>
              <w:rPr>
                <w:rFonts w:ascii="Calibri" w:hAnsi="Calibri"/>
                <w:b w:val="0"/>
                <w:i w:val="0"/>
                <w:color w:val="172B4D"/>
                <w:sz w:val="18"/>
              </w:rPr>
              <w:t>Listen</w:t>
            </w:r>
          </w:p>
        </w:tc>
        <w:tc>
          <w:tcPr>
            <w:tcW w:type="dxa" w:w="3300"/>
          </w:tcPr>
          <w:p>
            <w:pPr>
              <w:widowControl/>
              <w:spacing w:after="0"/>
            </w:pPr>
            <w:r>
              <w:rPr>
                <w:rFonts w:ascii="Calibri" w:hAnsi="Calibri"/>
                <w:b w:val="0"/>
                <w:i w:val="0"/>
                <w:color w:val="172B4D"/>
                <w:sz w:val="18"/>
              </w:rPr>
              <w:t>Search and analyse external conversations.</w:t>
            </w:r>
          </w:p>
        </w:tc>
        <w:tc>
          <w:tcPr>
            <w:tcW w:type="dxa" w:w="4460"/>
          </w:tcPr>
          <w:p>
            <w:pPr>
              <w:widowControl/>
              <w:spacing w:after="0"/>
            </w:pPr>
            <w:r>
              <w:rPr>
                <w:rFonts w:ascii="Calibri" w:hAnsi="Calibri"/>
                <w:b w:val="0"/>
                <w:i w:val="0"/>
                <w:color w:val="172B4D"/>
                <w:sz w:val="18"/>
              </w:rPr>
              <w:t>Queries, mentions, topics, entities, narratives, alerts.</w:t>
            </w:r>
          </w:p>
        </w:tc>
      </w:tr>
      <w:tr>
        <w:tc>
          <w:tcPr>
            <w:tcW w:type="dxa" w:w="1600"/>
          </w:tcPr>
          <w:p>
            <w:pPr>
              <w:widowControl/>
              <w:spacing w:after="0"/>
            </w:pPr>
            <w:r>
              <w:rPr>
                <w:rFonts w:ascii="Calibri" w:hAnsi="Calibri"/>
                <w:b w:val="0"/>
                <w:i w:val="0"/>
                <w:color w:val="172B4D"/>
                <w:sz w:val="18"/>
              </w:rPr>
              <w:t>Media</w:t>
            </w:r>
          </w:p>
        </w:tc>
        <w:tc>
          <w:tcPr>
            <w:tcW w:type="dxa" w:w="3300"/>
          </w:tcPr>
          <w:p>
            <w:pPr>
              <w:widowControl/>
              <w:spacing w:after="0"/>
            </w:pPr>
            <w:r>
              <w:rPr>
                <w:rFonts w:ascii="Calibri" w:hAnsi="Calibri"/>
                <w:b w:val="0"/>
                <w:i w:val="0"/>
                <w:color w:val="172B4D"/>
                <w:sz w:val="18"/>
              </w:rPr>
              <w:t>Earned-media coverage and PR workspace.</w:t>
            </w:r>
          </w:p>
        </w:tc>
        <w:tc>
          <w:tcPr>
            <w:tcW w:type="dxa" w:w="4460"/>
          </w:tcPr>
          <w:p>
            <w:pPr>
              <w:widowControl/>
              <w:spacing w:after="0"/>
            </w:pPr>
            <w:r>
              <w:rPr>
                <w:rFonts w:ascii="Calibri" w:hAnsi="Calibri"/>
                <w:b w:val="0"/>
                <w:i w:val="0"/>
                <w:color w:val="172B4D"/>
                <w:sz w:val="18"/>
              </w:rPr>
              <w:t>Clips, outlets, journalists, media lists, pitches, releases.</w:t>
            </w:r>
          </w:p>
        </w:tc>
      </w:tr>
      <w:tr>
        <w:tc>
          <w:tcPr>
            <w:tcW w:type="dxa" w:w="1600"/>
          </w:tcPr>
          <w:p>
            <w:pPr>
              <w:widowControl/>
              <w:spacing w:after="0"/>
            </w:pPr>
            <w:r>
              <w:rPr>
                <w:rFonts w:ascii="Calibri" w:hAnsi="Calibri"/>
                <w:b w:val="0"/>
                <w:i w:val="0"/>
                <w:color w:val="172B4D"/>
                <w:sz w:val="18"/>
              </w:rPr>
              <w:t>Inbox</w:t>
            </w:r>
          </w:p>
        </w:tc>
        <w:tc>
          <w:tcPr>
            <w:tcW w:type="dxa" w:w="3300"/>
          </w:tcPr>
          <w:p>
            <w:pPr>
              <w:widowControl/>
              <w:spacing w:after="0"/>
            </w:pPr>
            <w:r>
              <w:rPr>
                <w:rFonts w:ascii="Calibri" w:hAnsi="Calibri"/>
                <w:b w:val="0"/>
                <w:i w:val="0"/>
                <w:color w:val="172B4D"/>
                <w:sz w:val="18"/>
              </w:rPr>
              <w:t>Manage comments, messages and actionable public mentions.</w:t>
            </w:r>
          </w:p>
        </w:tc>
        <w:tc>
          <w:tcPr>
            <w:tcW w:type="dxa" w:w="4460"/>
          </w:tcPr>
          <w:p>
            <w:pPr>
              <w:widowControl/>
              <w:spacing w:after="0"/>
            </w:pPr>
            <w:r>
              <w:rPr>
                <w:rFonts w:ascii="Calibri" w:hAnsi="Calibri"/>
                <w:b w:val="0"/>
                <w:i w:val="0"/>
                <w:color w:val="172B4D"/>
                <w:sz w:val="18"/>
              </w:rPr>
              <w:t>Conversations, cases, people, SLA, assignments, responses.</w:t>
            </w:r>
          </w:p>
        </w:tc>
      </w:tr>
      <w:tr>
        <w:tc>
          <w:tcPr>
            <w:tcW w:type="dxa" w:w="1600"/>
          </w:tcPr>
          <w:p>
            <w:pPr>
              <w:widowControl/>
              <w:spacing w:after="0"/>
            </w:pPr>
            <w:r>
              <w:rPr>
                <w:rFonts w:ascii="Calibri" w:hAnsi="Calibri"/>
                <w:b w:val="0"/>
                <w:i w:val="0"/>
                <w:color w:val="172B4D"/>
                <w:sz w:val="18"/>
              </w:rPr>
              <w:t>Publish</w:t>
            </w:r>
          </w:p>
        </w:tc>
        <w:tc>
          <w:tcPr>
            <w:tcW w:type="dxa" w:w="3300"/>
          </w:tcPr>
          <w:p>
            <w:pPr>
              <w:widowControl/>
              <w:spacing w:after="0"/>
            </w:pPr>
            <w:r>
              <w:rPr>
                <w:rFonts w:ascii="Calibri" w:hAnsi="Calibri"/>
                <w:b w:val="0"/>
                <w:i w:val="0"/>
                <w:color w:val="172B4D"/>
                <w:sz w:val="18"/>
              </w:rPr>
              <w:t>Plan, approve and publish owned content.</w:t>
            </w:r>
          </w:p>
        </w:tc>
        <w:tc>
          <w:tcPr>
            <w:tcW w:type="dxa" w:w="4460"/>
          </w:tcPr>
          <w:p>
            <w:pPr>
              <w:widowControl/>
              <w:spacing w:after="0"/>
            </w:pPr>
            <w:r>
              <w:rPr>
                <w:rFonts w:ascii="Calibri" w:hAnsi="Calibri"/>
                <w:b w:val="0"/>
                <w:i w:val="0"/>
                <w:color w:val="172B4D"/>
                <w:sz w:val="18"/>
              </w:rPr>
              <w:t>Calendar, post, variant, asset, campaign, approval.</w:t>
            </w:r>
          </w:p>
        </w:tc>
      </w:tr>
      <w:tr>
        <w:tc>
          <w:tcPr>
            <w:tcW w:type="dxa" w:w="1600"/>
          </w:tcPr>
          <w:p>
            <w:pPr>
              <w:widowControl/>
              <w:spacing w:after="0"/>
            </w:pPr>
            <w:r>
              <w:rPr>
                <w:rFonts w:ascii="Calibri" w:hAnsi="Calibri"/>
                <w:b w:val="0"/>
                <w:i w:val="0"/>
                <w:color w:val="172B4D"/>
                <w:sz w:val="18"/>
              </w:rPr>
              <w:t>Campaigns</w:t>
            </w:r>
          </w:p>
        </w:tc>
        <w:tc>
          <w:tcPr>
            <w:tcW w:type="dxa" w:w="3300"/>
          </w:tcPr>
          <w:p>
            <w:pPr>
              <w:widowControl/>
              <w:spacing w:after="0"/>
            </w:pPr>
            <w:r>
              <w:rPr>
                <w:rFonts w:ascii="Calibri" w:hAnsi="Calibri"/>
                <w:b w:val="0"/>
                <w:i w:val="0"/>
                <w:color w:val="172B4D"/>
                <w:sz w:val="18"/>
              </w:rPr>
              <w:t>Coordinate objectives, activity and performance.</w:t>
            </w:r>
          </w:p>
        </w:tc>
        <w:tc>
          <w:tcPr>
            <w:tcW w:type="dxa" w:w="4460"/>
          </w:tcPr>
          <w:p>
            <w:pPr>
              <w:widowControl/>
              <w:spacing w:after="0"/>
            </w:pPr>
            <w:r>
              <w:rPr>
                <w:rFonts w:ascii="Calibri" w:hAnsi="Calibri"/>
                <w:b w:val="0"/>
                <w:i w:val="0"/>
                <w:color w:val="172B4D"/>
                <w:sz w:val="18"/>
              </w:rPr>
              <w:t>Campaign, audience, content, coverage, cost, KPI.</w:t>
            </w:r>
          </w:p>
        </w:tc>
      </w:tr>
      <w:tr>
        <w:tc>
          <w:tcPr>
            <w:tcW w:type="dxa" w:w="1600"/>
          </w:tcPr>
          <w:p>
            <w:pPr>
              <w:widowControl/>
              <w:spacing w:after="0"/>
            </w:pPr>
            <w:r>
              <w:rPr>
                <w:rFonts w:ascii="Calibri" w:hAnsi="Calibri"/>
                <w:b w:val="0"/>
                <w:i w:val="0"/>
                <w:color w:val="172B4D"/>
                <w:sz w:val="18"/>
              </w:rPr>
              <w:t>Archive</w:t>
            </w:r>
          </w:p>
        </w:tc>
        <w:tc>
          <w:tcPr>
            <w:tcW w:type="dxa" w:w="3300"/>
          </w:tcPr>
          <w:p>
            <w:pPr>
              <w:widowControl/>
              <w:spacing w:after="0"/>
            </w:pPr>
            <w:r>
              <w:rPr>
                <w:rFonts w:ascii="Calibri" w:hAnsi="Calibri"/>
                <w:b w:val="0"/>
                <w:i w:val="0"/>
                <w:color w:val="172B4D"/>
                <w:sz w:val="18"/>
              </w:rPr>
              <w:t>Preserve, find and export communication records.</w:t>
            </w:r>
          </w:p>
        </w:tc>
        <w:tc>
          <w:tcPr>
            <w:tcW w:type="dxa" w:w="4460"/>
          </w:tcPr>
          <w:p>
            <w:pPr>
              <w:widowControl/>
              <w:spacing w:after="0"/>
            </w:pPr>
            <w:r>
              <w:rPr>
                <w:rFonts w:ascii="Calibri" w:hAnsi="Calibri"/>
                <w:b w:val="0"/>
                <w:i w:val="0"/>
                <w:color w:val="172B4D"/>
                <w:sz w:val="18"/>
              </w:rPr>
              <w:t>Snapshot, version, evidence bundle, retention rule, legal hold.</w:t>
            </w:r>
          </w:p>
        </w:tc>
      </w:tr>
      <w:tr>
        <w:tc>
          <w:tcPr>
            <w:tcW w:type="dxa" w:w="1600"/>
          </w:tcPr>
          <w:p>
            <w:pPr>
              <w:widowControl/>
              <w:spacing w:after="0"/>
            </w:pPr>
            <w:r>
              <w:rPr>
                <w:rFonts w:ascii="Calibri" w:hAnsi="Calibri"/>
                <w:b w:val="0"/>
                <w:i w:val="0"/>
                <w:color w:val="172B4D"/>
                <w:sz w:val="18"/>
              </w:rPr>
              <w:t>KPI Studio</w:t>
            </w:r>
          </w:p>
        </w:tc>
        <w:tc>
          <w:tcPr>
            <w:tcW w:type="dxa" w:w="3300"/>
          </w:tcPr>
          <w:p>
            <w:pPr>
              <w:widowControl/>
              <w:spacing w:after="0"/>
            </w:pPr>
            <w:r>
              <w:rPr>
                <w:rFonts w:ascii="Calibri" w:hAnsi="Calibri"/>
                <w:b w:val="0"/>
                <w:i w:val="0"/>
                <w:color w:val="172B4D"/>
                <w:sz w:val="18"/>
              </w:rPr>
              <w:t>Define metrics, targets and scorecards.</w:t>
            </w:r>
          </w:p>
        </w:tc>
        <w:tc>
          <w:tcPr>
            <w:tcW w:type="dxa" w:w="4460"/>
          </w:tcPr>
          <w:p>
            <w:pPr>
              <w:widowControl/>
              <w:spacing w:after="0"/>
            </w:pPr>
            <w:r>
              <w:rPr>
                <w:rFonts w:ascii="Calibri" w:hAnsi="Calibri"/>
                <w:b w:val="0"/>
                <w:i w:val="0"/>
                <w:color w:val="172B4D"/>
                <w:sz w:val="18"/>
              </w:rPr>
              <w:t>Metric definition, formula, target, dimension, benchmark.</w:t>
            </w:r>
          </w:p>
        </w:tc>
      </w:tr>
      <w:tr>
        <w:tc>
          <w:tcPr>
            <w:tcW w:type="dxa" w:w="1600"/>
          </w:tcPr>
          <w:p>
            <w:pPr>
              <w:widowControl/>
              <w:spacing w:after="0"/>
            </w:pPr>
            <w:r>
              <w:rPr>
                <w:rFonts w:ascii="Calibri" w:hAnsi="Calibri"/>
                <w:b w:val="0"/>
                <w:i w:val="0"/>
                <w:color w:val="172B4D"/>
                <w:sz w:val="18"/>
              </w:rPr>
              <w:t>Reports</w:t>
            </w:r>
          </w:p>
        </w:tc>
        <w:tc>
          <w:tcPr>
            <w:tcW w:type="dxa" w:w="3300"/>
          </w:tcPr>
          <w:p>
            <w:pPr>
              <w:widowControl/>
              <w:spacing w:after="0"/>
            </w:pPr>
            <w:r>
              <w:rPr>
                <w:rFonts w:ascii="Calibri" w:hAnsi="Calibri"/>
                <w:b w:val="0"/>
                <w:i w:val="0"/>
                <w:color w:val="172B4D"/>
                <w:sz w:val="18"/>
              </w:rPr>
              <w:t>Create live, scheduled and exportable reporting.</w:t>
            </w:r>
          </w:p>
        </w:tc>
        <w:tc>
          <w:tcPr>
            <w:tcW w:type="dxa" w:w="4460"/>
          </w:tcPr>
          <w:p>
            <w:pPr>
              <w:widowControl/>
              <w:spacing w:after="0"/>
            </w:pPr>
            <w:r>
              <w:rPr>
                <w:rFonts w:ascii="Calibri" w:hAnsi="Calibri"/>
                <w:b w:val="0"/>
                <w:i w:val="0"/>
                <w:color w:val="172B4D"/>
                <w:sz w:val="18"/>
              </w:rPr>
              <w:t>Dashboard, narrative, widget, audience, schedule, export.</w:t>
            </w:r>
          </w:p>
        </w:tc>
      </w:tr>
      <w:tr>
        <w:tc>
          <w:tcPr>
            <w:tcW w:type="dxa" w:w="1600"/>
          </w:tcPr>
          <w:p>
            <w:pPr>
              <w:widowControl/>
              <w:spacing w:after="0"/>
            </w:pPr>
            <w:r>
              <w:rPr>
                <w:rFonts w:ascii="Calibri" w:hAnsi="Calibri"/>
                <w:b w:val="0"/>
                <w:i w:val="0"/>
                <w:color w:val="172B4D"/>
                <w:sz w:val="18"/>
              </w:rPr>
              <w:t>Crisis Room</w:t>
            </w:r>
          </w:p>
        </w:tc>
        <w:tc>
          <w:tcPr>
            <w:tcW w:type="dxa" w:w="3300"/>
          </w:tcPr>
          <w:p>
            <w:pPr>
              <w:widowControl/>
              <w:spacing w:after="0"/>
            </w:pPr>
            <w:r>
              <w:rPr>
                <w:rFonts w:ascii="Calibri" w:hAnsi="Calibri"/>
                <w:b w:val="0"/>
                <w:i w:val="0"/>
                <w:color w:val="172B4D"/>
                <w:sz w:val="18"/>
              </w:rPr>
              <w:t>Coordinate high-risk incidents.</w:t>
            </w:r>
          </w:p>
        </w:tc>
        <w:tc>
          <w:tcPr>
            <w:tcW w:type="dxa" w:w="4460"/>
          </w:tcPr>
          <w:p>
            <w:pPr>
              <w:widowControl/>
              <w:spacing w:after="0"/>
            </w:pPr>
            <w:r>
              <w:rPr>
                <w:rFonts w:ascii="Calibri" w:hAnsi="Calibri"/>
                <w:b w:val="0"/>
                <w:i w:val="0"/>
                <w:color w:val="172B4D"/>
                <w:sz w:val="18"/>
              </w:rPr>
              <w:t>Incident, timeline, stakeholder, playbook, decision, statement.</w:t>
            </w:r>
          </w:p>
        </w:tc>
      </w:tr>
      <w:tr>
        <w:tc>
          <w:tcPr>
            <w:tcW w:type="dxa" w:w="1600"/>
          </w:tcPr>
          <w:p>
            <w:pPr>
              <w:widowControl/>
              <w:spacing w:after="0"/>
            </w:pPr>
            <w:r>
              <w:rPr>
                <w:rFonts w:ascii="Calibri" w:hAnsi="Calibri"/>
                <w:b w:val="0"/>
                <w:i w:val="0"/>
                <w:color w:val="172B4D"/>
                <w:sz w:val="18"/>
              </w:rPr>
              <w:t>Admin</w:t>
            </w:r>
          </w:p>
        </w:tc>
        <w:tc>
          <w:tcPr>
            <w:tcW w:type="dxa" w:w="3300"/>
          </w:tcPr>
          <w:p>
            <w:pPr>
              <w:widowControl/>
              <w:spacing w:after="0"/>
            </w:pPr>
            <w:r>
              <w:rPr>
                <w:rFonts w:ascii="Calibri" w:hAnsi="Calibri"/>
                <w:b w:val="0"/>
                <w:i w:val="0"/>
                <w:color w:val="172B4D"/>
                <w:sz w:val="18"/>
              </w:rPr>
              <w:t>Manage organisations, users, sources and governance.</w:t>
            </w:r>
          </w:p>
        </w:tc>
        <w:tc>
          <w:tcPr>
            <w:tcW w:type="dxa" w:w="4460"/>
          </w:tcPr>
          <w:p>
            <w:pPr>
              <w:widowControl/>
              <w:spacing w:after="0"/>
            </w:pPr>
            <w:r>
              <w:rPr>
                <w:rFonts w:ascii="Calibri" w:hAnsi="Calibri"/>
                <w:b w:val="0"/>
                <w:i w:val="0"/>
                <w:color w:val="172B4D"/>
                <w:sz w:val="18"/>
              </w:rPr>
              <w:t>Tenant, workspace, role, permission, connector, taxonomy, policy.</w:t>
            </w:r>
          </w:p>
        </w:tc>
      </w:tr>
    </w:tbl>
    <w:p>
      <w:pPr>
        <w:widowControl/>
        <w:spacing w:after="0"/>
      </w:pPr>
    </w:p>
    <w:p>
      <w:pPr>
        <w:pStyle w:val="Heading2"/>
        <w:widowControl/>
      </w:pPr>
      <w:r>
        <w:t>6.1 Visual language</w:t>
      </w:r>
    </w:p>
    <w:p>
      <w:pPr>
        <w:pStyle w:val="ListBullet"/>
        <w:widowControl/>
      </w:pPr>
      <w:r>
        <w:rPr>
          <w:rFonts w:ascii="Calibri" w:hAnsi="Calibri"/>
          <w:b w:val="0"/>
          <w:i w:val="0"/>
          <w:color w:val="172B4D"/>
          <w:sz w:val="22"/>
        </w:rPr>
        <w:t>Overall character: intelligence cockpit—calm, credible, dense only where analysis requires it.</w:t>
      </w:r>
    </w:p>
    <w:p>
      <w:pPr>
        <w:pStyle w:val="ListBullet"/>
        <w:widowControl/>
      </w:pPr>
      <w:r>
        <w:rPr>
          <w:rFonts w:ascii="Calibri" w:hAnsi="Calibri"/>
          <w:b w:val="0"/>
          <w:i w:val="0"/>
          <w:color w:val="172B4D"/>
          <w:sz w:val="22"/>
        </w:rPr>
        <w:t>Core palette: deep navy for trust, blue for analysis, teal for resolved/healthy, purple for AI, amber for caution and red for urgent risk.</w:t>
      </w:r>
    </w:p>
    <w:p>
      <w:pPr>
        <w:pStyle w:val="ListBullet"/>
        <w:widowControl/>
      </w:pPr>
      <w:r>
        <w:rPr>
          <w:rFonts w:ascii="Calibri" w:hAnsi="Calibri"/>
          <w:b w:val="0"/>
          <w:i w:val="0"/>
          <w:color w:val="172B4D"/>
          <w:sz w:val="22"/>
        </w:rPr>
        <w:t>Status should never rely on colour alone; pair it with labels and icons.</w:t>
      </w:r>
    </w:p>
    <w:p>
      <w:pPr>
        <w:pStyle w:val="ListBullet"/>
        <w:widowControl/>
      </w:pPr>
      <w:r>
        <w:rPr>
          <w:rFonts w:ascii="Calibri" w:hAnsi="Calibri"/>
          <w:b w:val="0"/>
          <w:i w:val="0"/>
          <w:color w:val="172B4D"/>
          <w:sz w:val="22"/>
        </w:rPr>
        <w:t>Charts should default to comparison and change over time, with immediate drill-down to source evidence.</w:t>
      </w:r>
    </w:p>
    <w:p>
      <w:pPr>
        <w:pStyle w:val="ListBullet"/>
        <w:widowControl/>
      </w:pPr>
      <w:r>
        <w:rPr>
          <w:rFonts w:ascii="Calibri" w:hAnsi="Calibri"/>
          <w:b w:val="0"/>
          <w:i w:val="0"/>
          <w:color w:val="172B4D"/>
          <w:sz w:val="22"/>
        </w:rPr>
        <w:t>Use plain-language labels such as “What changed”, “Why it matters”, “Owner” and “Next action”.</w:t>
      </w:r>
    </w:p>
    <w:p>
      <w:pPr>
        <w:pStyle w:val="Heading1"/>
        <w:pageBreakBefore/>
        <w:widowControl/>
      </w:pPr>
      <w:r>
        <w:t>7. Core product modules</w:t>
      </w:r>
    </w:p>
    <w:p>
      <w:pPr>
        <w:pStyle w:val="Heading2"/>
        <w:widowControl/>
      </w:pPr>
      <w:r>
        <w:t>7.1 Home / Command Centre</w:t>
      </w:r>
    </w:p>
    <w:p>
      <w:pPr>
        <w:widowControl/>
      </w:pPr>
      <w:r>
        <w:rPr>
          <w:rFonts w:ascii="Calibri" w:hAnsi="Calibri"/>
          <w:b w:val="0"/>
          <w:i w:val="0"/>
          <w:color w:val="172B4D"/>
          <w:sz w:val="22"/>
        </w:rPr>
        <w:t>The Home screen is not a generic dashboard. It is a prioritised operating brief assembled from the user’s role, workspaces, alerts, SLAs and KPI targets.</w:t>
      </w:r>
    </w:p>
    <w:p>
      <w:pPr>
        <w:pStyle w:val="ListBullet"/>
        <w:widowControl/>
      </w:pPr>
      <w:r>
        <w:rPr>
          <w:rFonts w:ascii="Calibri" w:hAnsi="Calibri"/>
          <w:b w:val="0"/>
          <w:i w:val="0"/>
          <w:color w:val="172B4D"/>
          <w:sz w:val="22"/>
        </w:rPr>
        <w:t>Morning brief: material changes since the last login, with source-linked explanation.</w:t>
      </w:r>
    </w:p>
    <w:p>
      <w:pPr>
        <w:pStyle w:val="ListBullet"/>
        <w:widowControl/>
      </w:pPr>
      <w:r>
        <w:rPr>
          <w:rFonts w:ascii="Calibri" w:hAnsi="Calibri"/>
          <w:b w:val="0"/>
          <w:i w:val="0"/>
          <w:color w:val="172B4D"/>
          <w:sz w:val="22"/>
        </w:rPr>
        <w:t>Risk queue: emerging narratives, anomalous volume, negative velocity and unresolved high-impact mentions.</w:t>
      </w:r>
    </w:p>
    <w:p>
      <w:pPr>
        <w:pStyle w:val="ListBullet"/>
        <w:widowControl/>
      </w:pPr>
      <w:r>
        <w:rPr>
          <w:rFonts w:ascii="Calibri" w:hAnsi="Calibri"/>
          <w:b w:val="0"/>
          <w:i w:val="0"/>
          <w:color w:val="172B4D"/>
          <w:sz w:val="22"/>
        </w:rPr>
        <w:t>Work queue: assigned cases, approvals, overdue responses and scheduled content requiring attention.</w:t>
      </w:r>
    </w:p>
    <w:p>
      <w:pPr>
        <w:pStyle w:val="ListBullet"/>
        <w:widowControl/>
      </w:pPr>
      <w:r>
        <w:rPr>
          <w:rFonts w:ascii="Calibri" w:hAnsi="Calibri"/>
          <w:b w:val="0"/>
          <w:i w:val="0"/>
          <w:color w:val="172B4D"/>
          <w:sz w:val="22"/>
        </w:rPr>
        <w:t>Performance strip: five to eight selected KPIs showing current value, target, variance and confidence.</w:t>
      </w:r>
    </w:p>
    <w:p>
      <w:pPr>
        <w:pStyle w:val="ListBullet"/>
        <w:widowControl/>
      </w:pPr>
      <w:r>
        <w:rPr>
          <w:rFonts w:ascii="Calibri" w:hAnsi="Calibri"/>
          <w:b w:val="0"/>
          <w:i w:val="0"/>
          <w:color w:val="172B4D"/>
          <w:sz w:val="22"/>
        </w:rPr>
        <w:t>Opportunity panel: rising positive themes, journalists/creators gaining relevance and content topics with momentum.</w:t>
      </w:r>
    </w:p>
    <w:p>
      <w:pPr>
        <w:pStyle w:val="ListBullet"/>
        <w:widowControl/>
      </w:pPr>
      <w:r>
        <w:rPr>
          <w:rFonts w:ascii="Calibri" w:hAnsi="Calibri"/>
          <w:b w:val="0"/>
          <w:i w:val="0"/>
          <w:color w:val="172B4D"/>
          <w:sz w:val="22"/>
        </w:rPr>
        <w:t>One-click actions: create case, open crisis room, draft response, share brief, schedule report or save view.</w:t>
      </w:r>
    </w:p>
    <w:p>
      <w:pPr>
        <w:pStyle w:val="Heading2"/>
        <w:widowControl/>
      </w:pPr>
      <w:r>
        <w:t>7.2 Listen / Intelligence Studio</w:t>
      </w:r>
    </w:p>
    <w:p>
      <w:pPr>
        <w:pStyle w:val="ListBullet"/>
        <w:widowControl/>
      </w:pPr>
      <w:r>
        <w:rPr>
          <w:rFonts w:ascii="Calibri" w:hAnsi="Calibri"/>
          <w:b w:val="0"/>
          <w:i w:val="0"/>
          <w:color w:val="172B4D"/>
          <w:sz w:val="22"/>
        </w:rPr>
        <w:t>Guided query builder with natural-language setup and inspectable Boolean output.</w:t>
      </w:r>
    </w:p>
    <w:p>
      <w:pPr>
        <w:pStyle w:val="ListBullet"/>
        <w:widowControl/>
      </w:pPr>
      <w:r>
        <w:rPr>
          <w:rFonts w:ascii="Calibri" w:hAnsi="Calibri"/>
          <w:b w:val="0"/>
          <w:i w:val="0"/>
          <w:color w:val="172B4D"/>
          <w:sz w:val="22"/>
        </w:rPr>
        <w:t>Source, language, geography, author, outlet, channel, sentiment, topic, entity and campaign filters.</w:t>
      </w:r>
    </w:p>
    <w:p>
      <w:pPr>
        <w:pStyle w:val="ListBullet"/>
        <w:widowControl/>
      </w:pPr>
      <w:r>
        <w:rPr>
          <w:rFonts w:ascii="Calibri" w:hAnsi="Calibri"/>
          <w:b w:val="0"/>
          <w:i w:val="0"/>
          <w:color w:val="172B4D"/>
          <w:sz w:val="22"/>
        </w:rPr>
        <w:t>Reusable taxonomies, exclusions, spam rules, deduplication and analyst-approved classifiers.</w:t>
      </w:r>
    </w:p>
    <w:p>
      <w:pPr>
        <w:pStyle w:val="ListBullet"/>
        <w:widowControl/>
      </w:pPr>
      <w:r>
        <w:rPr>
          <w:rFonts w:ascii="Calibri" w:hAnsi="Calibri"/>
          <w:b w:val="0"/>
          <w:i w:val="0"/>
          <w:color w:val="172B4D"/>
          <w:sz w:val="22"/>
        </w:rPr>
        <w:t>Analysis views: volume, velocity, share of voice, sentiment, emotion, topics, entities, geography, source mix, authors, reach and engagement.</w:t>
      </w:r>
    </w:p>
    <w:p>
      <w:pPr>
        <w:pStyle w:val="ListBullet"/>
        <w:widowControl/>
      </w:pPr>
      <w:r>
        <w:rPr>
          <w:rFonts w:ascii="Calibri" w:hAnsi="Calibri"/>
          <w:b w:val="0"/>
          <w:i w:val="0"/>
          <w:color w:val="172B4D"/>
          <w:sz w:val="22"/>
        </w:rPr>
        <w:t>Narrative clusters showing claims, counterclaims, representative examples and movement over time.</w:t>
      </w:r>
    </w:p>
    <w:p>
      <w:pPr>
        <w:pStyle w:val="ListBullet"/>
        <w:widowControl/>
      </w:pPr>
      <w:r>
        <w:rPr>
          <w:rFonts w:ascii="Calibri" w:hAnsi="Calibri"/>
          <w:b w:val="0"/>
          <w:i w:val="0"/>
          <w:color w:val="172B4D"/>
          <w:sz w:val="22"/>
        </w:rPr>
        <w:t>Alert builder supporting keyword, threshold, anomaly, sentiment shift, source tier and named-stakeholder conditions.</w:t>
      </w:r>
    </w:p>
    <w:p>
      <w:pPr>
        <w:pStyle w:val="ListBullet"/>
        <w:widowControl/>
      </w:pPr>
      <w:r>
        <w:rPr>
          <w:rFonts w:ascii="Calibri" w:hAnsi="Calibri"/>
          <w:b w:val="0"/>
          <w:i w:val="0"/>
          <w:color w:val="172B4D"/>
          <w:sz w:val="22"/>
        </w:rPr>
        <w:t>Saved searches can flow into Inbox as actionable cases, not merely notifications.</w:t>
      </w:r>
    </w:p>
    <w:p>
      <w:pPr>
        <w:pStyle w:val="Heading2"/>
        <w:widowControl/>
      </w:pPr>
      <w:r>
        <w:t>7.3 Media Intelligence</w:t>
      </w:r>
    </w:p>
    <w:p>
      <w:pPr>
        <w:pStyle w:val="ListBullet"/>
        <w:widowControl/>
      </w:pPr>
      <w:r>
        <w:rPr>
          <w:rFonts w:ascii="Calibri" w:hAnsi="Calibri"/>
          <w:b w:val="0"/>
          <w:i w:val="0"/>
          <w:color w:val="172B4D"/>
          <w:sz w:val="22"/>
        </w:rPr>
        <w:t>Unified clip stream across online, print, broadcast, podcast and selected social sources.</w:t>
      </w:r>
    </w:p>
    <w:p>
      <w:pPr>
        <w:pStyle w:val="ListBullet"/>
        <w:widowControl/>
      </w:pPr>
      <w:r>
        <w:rPr>
          <w:rFonts w:ascii="Calibri" w:hAnsi="Calibri"/>
          <w:b w:val="0"/>
          <w:i w:val="0"/>
          <w:color w:val="172B4D"/>
          <w:sz w:val="22"/>
        </w:rPr>
        <w:t>Article-level metadata, canonical URLs, duplicate/syndication groups, outlet tier, journalist, geography and audience estimate.</w:t>
      </w:r>
    </w:p>
    <w:p>
      <w:pPr>
        <w:pStyle w:val="ListBullet"/>
        <w:widowControl/>
      </w:pPr>
      <w:r>
        <w:rPr>
          <w:rFonts w:ascii="Calibri" w:hAnsi="Calibri"/>
          <w:b w:val="0"/>
          <w:i w:val="0"/>
          <w:color w:val="172B4D"/>
          <w:sz w:val="22"/>
        </w:rPr>
        <w:t>Message pull-through: whether priority organisational messages appear in coverage.</w:t>
      </w:r>
    </w:p>
    <w:p>
      <w:pPr>
        <w:pStyle w:val="ListBullet"/>
        <w:widowControl/>
      </w:pPr>
      <w:r>
        <w:rPr>
          <w:rFonts w:ascii="Calibri" w:hAnsi="Calibri"/>
          <w:b w:val="0"/>
          <w:i w:val="0"/>
          <w:color w:val="172B4D"/>
          <w:sz w:val="22"/>
        </w:rPr>
        <w:t>Prominence scoring using configurable factors such as headline mention, first-paragraph mention, source tier and spokesperson quote.</w:t>
      </w:r>
    </w:p>
    <w:p>
      <w:pPr>
        <w:pStyle w:val="ListBullet"/>
        <w:widowControl/>
      </w:pPr>
      <w:r>
        <w:rPr>
          <w:rFonts w:ascii="Calibri" w:hAnsi="Calibri"/>
          <w:b w:val="0"/>
          <w:i w:val="0"/>
          <w:color w:val="172B4D"/>
          <w:sz w:val="22"/>
        </w:rPr>
        <w:t>Coverage quality rubric separate from raw volume or potential reach.</w:t>
      </w:r>
    </w:p>
    <w:p>
      <w:pPr>
        <w:pStyle w:val="ListBullet"/>
        <w:widowControl/>
      </w:pPr>
      <w:r>
        <w:rPr>
          <w:rFonts w:ascii="Calibri" w:hAnsi="Calibri"/>
          <w:b w:val="0"/>
          <w:i w:val="0"/>
          <w:color w:val="172B4D"/>
          <w:sz w:val="22"/>
        </w:rPr>
        <w:t>Media-contact profiles, lists and interaction history in Phase 2.</w:t>
      </w:r>
    </w:p>
    <w:p>
      <w:pPr>
        <w:pStyle w:val="Heading2"/>
        <w:widowControl/>
      </w:pPr>
      <w:r>
        <w:t>7.4 Inbox / Response Management</w:t>
      </w:r>
    </w:p>
    <w:p>
      <w:pPr>
        <w:pStyle w:val="ListBullet"/>
        <w:widowControl/>
      </w:pPr>
      <w:r>
        <w:rPr>
          <w:rFonts w:ascii="Calibri" w:hAnsi="Calibri"/>
          <w:b w:val="0"/>
          <w:i w:val="0"/>
          <w:color w:val="172B4D"/>
          <w:sz w:val="22"/>
        </w:rPr>
        <w:t>Unified stream for owned-channel comments, direct messages, reviews and selected public mentions.</w:t>
      </w:r>
    </w:p>
    <w:p>
      <w:pPr>
        <w:pStyle w:val="ListBullet"/>
        <w:widowControl/>
      </w:pPr>
      <w:r>
        <w:rPr>
          <w:rFonts w:ascii="Calibri" w:hAnsi="Calibri"/>
          <w:b w:val="0"/>
          <w:i w:val="0"/>
          <w:color w:val="172B4D"/>
          <w:sz w:val="22"/>
        </w:rPr>
        <w:t>Case states: New, Triage, Assigned, Waiting, Approval, Responded, Resolved, Reopened and Archived.</w:t>
      </w:r>
    </w:p>
    <w:p>
      <w:pPr>
        <w:pStyle w:val="ListBullet"/>
        <w:widowControl/>
      </w:pPr>
      <w:r>
        <w:rPr>
          <w:rFonts w:ascii="Calibri" w:hAnsi="Calibri"/>
          <w:b w:val="0"/>
          <w:i w:val="0"/>
          <w:color w:val="172B4D"/>
          <w:sz w:val="22"/>
        </w:rPr>
        <w:t>Rules-based routing by brand, platform, language, issue, risk, region, business hours and customer tier.</w:t>
      </w:r>
    </w:p>
    <w:p>
      <w:pPr>
        <w:pStyle w:val="ListBullet"/>
        <w:widowControl/>
      </w:pPr>
      <w:r>
        <w:rPr>
          <w:rFonts w:ascii="Calibri" w:hAnsi="Calibri"/>
          <w:b w:val="0"/>
          <w:i w:val="0"/>
          <w:color w:val="172B4D"/>
          <w:sz w:val="22"/>
        </w:rPr>
        <w:t>Priority score combining urgency, influence/reach, sentiment, virality, vulnerability and regulatory sensitivity.</w:t>
      </w:r>
    </w:p>
    <w:p>
      <w:pPr>
        <w:pStyle w:val="ListBullet"/>
        <w:widowControl/>
      </w:pPr>
      <w:r>
        <w:rPr>
          <w:rFonts w:ascii="Calibri" w:hAnsi="Calibri"/>
          <w:b w:val="0"/>
          <w:i w:val="0"/>
          <w:color w:val="172B4D"/>
          <w:sz w:val="22"/>
        </w:rPr>
        <w:t>Conversation history and person profile with consent-aware CRM enrichment.</w:t>
      </w:r>
    </w:p>
    <w:p>
      <w:pPr>
        <w:pStyle w:val="ListBullet"/>
        <w:widowControl/>
      </w:pPr>
      <w:r>
        <w:rPr>
          <w:rFonts w:ascii="Calibri" w:hAnsi="Calibri"/>
          <w:b w:val="0"/>
          <w:i w:val="0"/>
          <w:color w:val="172B4D"/>
          <w:sz w:val="22"/>
        </w:rPr>
        <w:t>Suggested responses grounded in approved knowledge, brand voice and the current conversation.</w:t>
      </w:r>
    </w:p>
    <w:p>
      <w:pPr>
        <w:pStyle w:val="ListBullet"/>
        <w:widowControl/>
      </w:pPr>
      <w:r>
        <w:rPr>
          <w:rFonts w:ascii="Calibri" w:hAnsi="Calibri"/>
          <w:b w:val="0"/>
          <w:i w:val="0"/>
          <w:color w:val="172B4D"/>
          <w:sz w:val="22"/>
        </w:rPr>
        <w:t>Response templates, internal notes, @mentions, approval, collision detection and immutable audit trail.</w:t>
      </w:r>
    </w:p>
    <w:p>
      <w:pPr>
        <w:pStyle w:val="ListBullet"/>
        <w:widowControl/>
      </w:pPr>
      <w:r>
        <w:rPr>
          <w:rFonts w:ascii="Calibri" w:hAnsi="Calibri"/>
          <w:b w:val="0"/>
          <w:i w:val="0"/>
          <w:color w:val="172B4D"/>
          <w:sz w:val="22"/>
        </w:rPr>
        <w:t>SLA timers for first response, resolution and approval; pause rules must be explicit.</w:t>
      </w:r>
    </w:p>
    <w:p>
      <w:pPr>
        <w:pStyle w:val="Heading2"/>
        <w:widowControl/>
      </w:pPr>
      <w:r>
        <w:t>7.5 Publish / Content Operations</w:t>
      </w:r>
    </w:p>
    <w:p>
      <w:pPr>
        <w:pStyle w:val="ListBullet"/>
        <w:widowControl/>
      </w:pPr>
      <w:r>
        <w:rPr>
          <w:rFonts w:ascii="Calibri" w:hAnsi="Calibri"/>
          <w:b w:val="0"/>
          <w:i w:val="0"/>
          <w:color w:val="172B4D"/>
          <w:sz w:val="22"/>
        </w:rPr>
        <w:t>Cross-network calendar with day, week, month, campaign and channel views.</w:t>
      </w:r>
    </w:p>
    <w:p>
      <w:pPr>
        <w:pStyle w:val="ListBullet"/>
        <w:widowControl/>
      </w:pPr>
      <w:r>
        <w:rPr>
          <w:rFonts w:ascii="Calibri" w:hAnsi="Calibri"/>
          <w:b w:val="0"/>
          <w:i w:val="0"/>
          <w:color w:val="172B4D"/>
          <w:sz w:val="22"/>
        </w:rPr>
        <w:t>One master post with network-specific variants, previews and validation rules.</w:t>
      </w:r>
    </w:p>
    <w:p>
      <w:pPr>
        <w:pStyle w:val="ListBullet"/>
        <w:widowControl/>
      </w:pPr>
      <w:r>
        <w:rPr>
          <w:rFonts w:ascii="Calibri" w:hAnsi="Calibri"/>
          <w:b w:val="0"/>
          <w:i w:val="0"/>
          <w:color w:val="172B4D"/>
          <w:sz w:val="22"/>
        </w:rPr>
        <w:t>Draft → review → compliance/legal → final approval → schedule/publish workflow.</w:t>
      </w:r>
    </w:p>
    <w:p>
      <w:pPr>
        <w:pStyle w:val="ListBullet"/>
        <w:widowControl/>
      </w:pPr>
      <w:r>
        <w:rPr>
          <w:rFonts w:ascii="Calibri" w:hAnsi="Calibri"/>
          <w:b w:val="0"/>
          <w:i w:val="0"/>
          <w:color w:val="172B4D"/>
          <w:sz w:val="22"/>
        </w:rPr>
        <w:t>Asset library with versioning, rights/usage expiry, alt text and campaign metadata.</w:t>
      </w:r>
    </w:p>
    <w:p>
      <w:pPr>
        <w:pStyle w:val="ListBullet"/>
        <w:widowControl/>
      </w:pPr>
      <w:r>
        <w:rPr>
          <w:rFonts w:ascii="Calibri" w:hAnsi="Calibri"/>
          <w:b w:val="0"/>
          <w:i w:val="0"/>
          <w:color w:val="172B4D"/>
          <w:sz w:val="22"/>
        </w:rPr>
        <w:t>Best-time suggestions based on owned performance, audience and content type.</w:t>
      </w:r>
    </w:p>
    <w:p>
      <w:pPr>
        <w:pStyle w:val="ListBullet"/>
        <w:widowControl/>
      </w:pPr>
      <w:r>
        <w:rPr>
          <w:rFonts w:ascii="Calibri" w:hAnsi="Calibri"/>
          <w:b w:val="0"/>
          <w:i w:val="0"/>
          <w:color w:val="172B4D"/>
          <w:sz w:val="22"/>
        </w:rPr>
        <w:t>Failure handling: retry, platform error detail, token expiry warnings and manual publish fallback.</w:t>
      </w:r>
    </w:p>
    <w:p>
      <w:pPr>
        <w:pStyle w:val="ListBullet"/>
        <w:widowControl/>
      </w:pPr>
      <w:r>
        <w:rPr>
          <w:rFonts w:ascii="Calibri" w:hAnsi="Calibri"/>
          <w:b w:val="0"/>
          <w:i w:val="0"/>
          <w:color w:val="172B4D"/>
          <w:sz w:val="22"/>
        </w:rPr>
        <w:t>Published snapshot automatically copied to Archive with approvers, final content, media and platform identifiers.</w:t>
      </w:r>
    </w:p>
    <w:p>
      <w:pPr>
        <w:pStyle w:val="Heading2"/>
        <w:widowControl/>
      </w:pPr>
      <w:r>
        <w:t>7.6 Evidence Archive</w:t>
      </w:r>
    </w:p>
    <w:p>
      <w:pPr>
        <w:widowControl/>
      </w:pPr>
      <w:r>
        <w:rPr>
          <w:rFonts w:ascii="Calibri" w:hAnsi="Calibri"/>
          <w:b w:val="0"/>
          <w:i w:val="0"/>
          <w:color w:val="172B4D"/>
          <w:sz w:val="22"/>
        </w:rPr>
        <w:t>Archiving is a primary differentiator. It must preserve both the source evidence and the organisation’s actions, because platform posts can be edited, deleted, hidden or become inaccessible.</w:t>
      </w:r>
    </w:p>
    <w:p>
      <w:pPr>
        <w:pStyle w:val="ListBullet"/>
        <w:widowControl/>
      </w:pPr>
      <w:r>
        <w:rPr>
          <w:rFonts w:ascii="Calibri" w:hAnsi="Calibri"/>
          <w:b w:val="0"/>
          <w:i w:val="0"/>
          <w:color w:val="172B4D"/>
          <w:sz w:val="22"/>
        </w:rPr>
        <w:t>Store canonical metadata, captured text, approved media, timestamps, hashes, source URL/ID and permitted visual snapshot.</w:t>
      </w:r>
    </w:p>
    <w:p>
      <w:pPr>
        <w:pStyle w:val="ListBullet"/>
        <w:widowControl/>
      </w:pPr>
      <w:r>
        <w:rPr>
          <w:rFonts w:ascii="Calibri" w:hAnsi="Calibri"/>
          <w:b w:val="0"/>
          <w:i w:val="0"/>
          <w:color w:val="172B4D"/>
          <w:sz w:val="22"/>
        </w:rPr>
        <w:t>Version every internally authored post, approval, edit, response and classification.</w:t>
      </w:r>
    </w:p>
    <w:p>
      <w:pPr>
        <w:pStyle w:val="ListBullet"/>
        <w:widowControl/>
      </w:pPr>
      <w:r>
        <w:rPr>
          <w:rFonts w:ascii="Calibri" w:hAnsi="Calibri"/>
          <w:b w:val="0"/>
          <w:i w:val="0"/>
          <w:color w:val="172B4D"/>
          <w:sz w:val="22"/>
        </w:rPr>
        <w:t>Retention schedules by tenant, content class, source licence and legal requirement.</w:t>
      </w:r>
    </w:p>
    <w:p>
      <w:pPr>
        <w:pStyle w:val="ListBullet"/>
        <w:widowControl/>
      </w:pPr>
      <w:r>
        <w:rPr>
          <w:rFonts w:ascii="Calibri" w:hAnsi="Calibri"/>
          <w:b w:val="0"/>
          <w:i w:val="0"/>
          <w:color w:val="172B4D"/>
          <w:sz w:val="22"/>
        </w:rPr>
        <w:t>Legal holds that prevent deletion while clearly recording authority and duration.</w:t>
      </w:r>
    </w:p>
    <w:p>
      <w:pPr>
        <w:pStyle w:val="ListBullet"/>
        <w:widowControl/>
      </w:pPr>
      <w:r>
        <w:rPr>
          <w:rFonts w:ascii="Calibri" w:hAnsi="Calibri"/>
          <w:b w:val="0"/>
          <w:i w:val="0"/>
          <w:color w:val="172B4D"/>
          <w:sz w:val="22"/>
        </w:rPr>
        <w:t>Evidence bundles for a campaign, crisis, complaint, audit or reporting period.</w:t>
      </w:r>
    </w:p>
    <w:p>
      <w:pPr>
        <w:pStyle w:val="ListBullet"/>
        <w:widowControl/>
      </w:pPr>
      <w:r>
        <w:rPr>
          <w:rFonts w:ascii="Calibri" w:hAnsi="Calibri"/>
          <w:b w:val="0"/>
          <w:i w:val="0"/>
          <w:color w:val="172B4D"/>
          <w:sz w:val="22"/>
        </w:rPr>
        <w:t>Full-text and faceted search; export with manifest, timestamps and hash verification.</w:t>
      </w:r>
    </w:p>
    <w:p>
      <w:pPr>
        <w:pStyle w:val="ListBullet"/>
        <w:widowControl/>
      </w:pPr>
      <w:r>
        <w:rPr>
          <w:rFonts w:ascii="Calibri" w:hAnsi="Calibri"/>
          <w:b w:val="0"/>
          <w:i w:val="0"/>
          <w:color w:val="172B4D"/>
          <w:sz w:val="22"/>
        </w:rPr>
        <w:t>Tombstone records when licensed content must be removed, preserving only permitted metadata and audit history.</w:t>
      </w:r>
    </w:p>
    <w:p>
      <w:pPr>
        <w:pStyle w:val="Heading2"/>
        <w:widowControl/>
      </w:pPr>
      <w:r>
        <w:t>7.7 KPI Studio</w:t>
      </w:r>
    </w:p>
    <w:p>
      <w:pPr>
        <w:widowControl/>
      </w:pPr>
      <w:r>
        <w:rPr>
          <w:rFonts w:ascii="Calibri" w:hAnsi="Calibri"/>
          <w:b w:val="0"/>
          <w:i w:val="0"/>
          <w:color w:val="172B4D"/>
          <w:sz w:val="22"/>
        </w:rPr>
        <w:t>A KPI should be an governed object, not a chart label. Every metric definition must explain what it means and how it is calculated.</w:t>
      </w:r>
    </w:p>
    <w:tbl>
      <w:tblPr>
        <w:tblW w:type="dxa" w:w="9360"/>
        <w:jc w:val="left"/>
        <w:tblLayout w:type="fixed"/>
        <w:tblLook w:firstColumn="1" w:firstRow="1" w:lastColumn="0" w:lastRow="0" w:noHBand="0" w:noVBand="1" w:val="04A0"/>
        <w:tblInd w:w="120" w:type="dxa"/>
        <w:tblBorders>
          <w:top w:val="single" w:sz="5" w:color="D0D5DD"/>
          <w:left w:val="single" w:sz="5" w:color="D0D5DD"/>
          <w:bottom w:val="single" w:sz="5" w:color="D0D5DD"/>
          <w:right w:val="single" w:sz="5" w:color="D0D5DD"/>
          <w:insideH w:val="single" w:sz="5" w:color="D0D5DD"/>
          <w:insideV w:val="single" w:sz="5" w:color="D0D5DD"/>
        </w:tblBorders>
      </w:tblPr>
      <w:tblGrid>
        <w:gridCol w:w="2100"/>
        <w:gridCol w:w="7260"/>
      </w:tblGrid>
      <w:tr>
        <w:trPr>
          <w:tblHeader w:val="true"/>
        </w:trPr>
        <w:tc>
          <w:tcPr>
            <w:tcW w:type="dxa" w:w="2100"/>
            <w:vAlign w:val="center"/>
            <w:tcMar>
              <w:top w:w="80" w:type="dxa"/>
              <w:start w:w="120" w:type="dxa"/>
              <w:bottom w:w="80" w:type="dxa"/>
              <w:end w:w="120" w:type="dxa"/>
            </w:tcMar>
            <w:shd w:fill="F2F4F7"/>
          </w:tcPr>
          <w:p>
            <w:pPr>
              <w:widowControl/>
              <w:spacing w:after="0"/>
            </w:pPr>
            <w:r>
              <w:rPr>
                <w:rFonts w:ascii="Calibri" w:hAnsi="Calibri"/>
                <w:b/>
                <w:i w:val="0"/>
                <w:color w:val="0B2545"/>
                <w:sz w:val="18"/>
              </w:rPr>
              <w:t>KPI field</w:t>
            </w:r>
          </w:p>
        </w:tc>
        <w:tc>
          <w:tcPr>
            <w:tcW w:type="dxa" w:w="7260"/>
            <w:vAlign w:val="center"/>
            <w:tcMar>
              <w:top w:w="80" w:type="dxa"/>
              <w:start w:w="120" w:type="dxa"/>
              <w:bottom w:w="80" w:type="dxa"/>
              <w:end w:w="120" w:type="dxa"/>
            </w:tcMar>
            <w:shd w:fill="F2F4F7"/>
          </w:tcPr>
          <w:p>
            <w:pPr>
              <w:widowControl/>
              <w:spacing w:after="0"/>
            </w:pPr>
            <w:r>
              <w:rPr>
                <w:rFonts w:ascii="Calibri" w:hAnsi="Calibri"/>
                <w:b/>
                <w:i w:val="0"/>
                <w:color w:val="0B2545"/>
                <w:sz w:val="18"/>
              </w:rPr>
              <w:t>Required definition</w:t>
            </w:r>
          </w:p>
        </w:tc>
      </w:tr>
      <w:tr>
        <w:tc>
          <w:tcPr>
            <w:tcW w:type="dxa" w:w="2100"/>
          </w:tcPr>
          <w:p>
            <w:pPr>
              <w:widowControl/>
              <w:spacing w:after="0"/>
            </w:pPr>
            <w:r>
              <w:rPr>
                <w:rFonts w:ascii="Calibri" w:hAnsi="Calibri"/>
                <w:b w:val="0"/>
                <w:i w:val="0"/>
                <w:color w:val="172B4D"/>
                <w:sz w:val="18"/>
              </w:rPr>
              <w:t>Name and purpose</w:t>
            </w:r>
          </w:p>
        </w:tc>
        <w:tc>
          <w:tcPr>
            <w:tcW w:type="dxa" w:w="7260"/>
          </w:tcPr>
          <w:p>
            <w:pPr>
              <w:widowControl/>
              <w:spacing w:after="0"/>
            </w:pPr>
            <w:r>
              <w:rPr>
                <w:rFonts w:ascii="Calibri" w:hAnsi="Calibri"/>
                <w:b w:val="0"/>
                <w:i w:val="0"/>
                <w:color w:val="172B4D"/>
                <w:sz w:val="18"/>
              </w:rPr>
              <w:t>Why the metric matters and which objective it represents.</w:t>
            </w:r>
          </w:p>
        </w:tc>
      </w:tr>
      <w:tr>
        <w:tc>
          <w:tcPr>
            <w:tcW w:type="dxa" w:w="2100"/>
          </w:tcPr>
          <w:p>
            <w:pPr>
              <w:widowControl/>
              <w:spacing w:after="0"/>
            </w:pPr>
            <w:r>
              <w:rPr>
                <w:rFonts w:ascii="Calibri" w:hAnsi="Calibri"/>
                <w:b w:val="0"/>
                <w:i w:val="0"/>
                <w:color w:val="172B4D"/>
                <w:sz w:val="18"/>
              </w:rPr>
              <w:t>Formula</w:t>
            </w:r>
          </w:p>
        </w:tc>
        <w:tc>
          <w:tcPr>
            <w:tcW w:type="dxa" w:w="7260"/>
          </w:tcPr>
          <w:p>
            <w:pPr>
              <w:widowControl/>
              <w:spacing w:after="0"/>
            </w:pPr>
            <w:r>
              <w:rPr>
                <w:rFonts w:ascii="Calibri" w:hAnsi="Calibri"/>
                <w:b w:val="0"/>
                <w:i w:val="0"/>
                <w:color w:val="172B4D"/>
                <w:sz w:val="18"/>
              </w:rPr>
              <w:t>Exact numerator, denominator, aggregation and rounding rules.</w:t>
            </w:r>
          </w:p>
        </w:tc>
      </w:tr>
      <w:tr>
        <w:tc>
          <w:tcPr>
            <w:tcW w:type="dxa" w:w="2100"/>
          </w:tcPr>
          <w:p>
            <w:pPr>
              <w:widowControl/>
              <w:spacing w:after="0"/>
            </w:pPr>
            <w:r>
              <w:rPr>
                <w:rFonts w:ascii="Calibri" w:hAnsi="Calibri"/>
                <w:b w:val="0"/>
                <w:i w:val="0"/>
                <w:color w:val="172B4D"/>
                <w:sz w:val="18"/>
              </w:rPr>
              <w:t>Sources</w:t>
            </w:r>
          </w:p>
        </w:tc>
        <w:tc>
          <w:tcPr>
            <w:tcW w:type="dxa" w:w="7260"/>
          </w:tcPr>
          <w:p>
            <w:pPr>
              <w:widowControl/>
              <w:spacing w:after="0"/>
            </w:pPr>
            <w:r>
              <w:rPr>
                <w:rFonts w:ascii="Calibri" w:hAnsi="Calibri"/>
                <w:b w:val="0"/>
                <w:i w:val="0"/>
                <w:color w:val="172B4D"/>
                <w:sz w:val="18"/>
              </w:rPr>
              <w:t>Which connectors and fields are accepted.</w:t>
            </w:r>
          </w:p>
        </w:tc>
      </w:tr>
      <w:tr>
        <w:tc>
          <w:tcPr>
            <w:tcW w:type="dxa" w:w="2100"/>
          </w:tcPr>
          <w:p>
            <w:pPr>
              <w:widowControl/>
              <w:spacing w:after="0"/>
            </w:pPr>
            <w:r>
              <w:rPr>
                <w:rFonts w:ascii="Calibri" w:hAnsi="Calibri"/>
                <w:b w:val="0"/>
                <w:i w:val="0"/>
                <w:color w:val="172B4D"/>
                <w:sz w:val="18"/>
              </w:rPr>
              <w:t>Scope</w:t>
            </w:r>
          </w:p>
        </w:tc>
        <w:tc>
          <w:tcPr>
            <w:tcW w:type="dxa" w:w="7260"/>
          </w:tcPr>
          <w:p>
            <w:pPr>
              <w:widowControl/>
              <w:spacing w:after="0"/>
            </w:pPr>
            <w:r>
              <w:rPr>
                <w:rFonts w:ascii="Calibri" w:hAnsi="Calibri"/>
                <w:b w:val="0"/>
                <w:i w:val="0"/>
                <w:color w:val="172B4D"/>
                <w:sz w:val="18"/>
              </w:rPr>
              <w:t>Brands, campaigns, markets, channels, languages and exclusions.</w:t>
            </w:r>
          </w:p>
        </w:tc>
      </w:tr>
      <w:tr>
        <w:tc>
          <w:tcPr>
            <w:tcW w:type="dxa" w:w="2100"/>
          </w:tcPr>
          <w:p>
            <w:pPr>
              <w:widowControl/>
              <w:spacing w:after="0"/>
            </w:pPr>
            <w:r>
              <w:rPr>
                <w:rFonts w:ascii="Calibri" w:hAnsi="Calibri"/>
                <w:b w:val="0"/>
                <w:i w:val="0"/>
                <w:color w:val="172B4D"/>
                <w:sz w:val="18"/>
              </w:rPr>
              <w:t>Target</w:t>
            </w:r>
          </w:p>
        </w:tc>
        <w:tc>
          <w:tcPr>
            <w:tcW w:type="dxa" w:w="7260"/>
          </w:tcPr>
          <w:p>
            <w:pPr>
              <w:widowControl/>
              <w:spacing w:after="0"/>
            </w:pPr>
            <w:r>
              <w:rPr>
                <w:rFonts w:ascii="Calibri" w:hAnsi="Calibri"/>
                <w:b w:val="0"/>
                <w:i w:val="0"/>
                <w:color w:val="172B4D"/>
                <w:sz w:val="18"/>
              </w:rPr>
              <w:t>Baseline, target value, warning band and effective dates.</w:t>
            </w:r>
          </w:p>
        </w:tc>
      </w:tr>
      <w:tr>
        <w:tc>
          <w:tcPr>
            <w:tcW w:type="dxa" w:w="2100"/>
          </w:tcPr>
          <w:p>
            <w:pPr>
              <w:widowControl/>
              <w:spacing w:after="0"/>
            </w:pPr>
            <w:r>
              <w:rPr>
                <w:rFonts w:ascii="Calibri" w:hAnsi="Calibri"/>
                <w:b w:val="0"/>
                <w:i w:val="0"/>
                <w:color w:val="172B4D"/>
                <w:sz w:val="18"/>
              </w:rPr>
              <w:t>Owner</w:t>
            </w:r>
          </w:p>
        </w:tc>
        <w:tc>
          <w:tcPr>
            <w:tcW w:type="dxa" w:w="7260"/>
          </w:tcPr>
          <w:p>
            <w:pPr>
              <w:widowControl/>
              <w:spacing w:after="0"/>
            </w:pPr>
            <w:r>
              <w:rPr>
                <w:rFonts w:ascii="Calibri" w:hAnsi="Calibri"/>
                <w:b w:val="0"/>
                <w:i w:val="0"/>
                <w:color w:val="172B4D"/>
                <w:sz w:val="18"/>
              </w:rPr>
              <w:t>Who validates and responds when the metric moves.</w:t>
            </w:r>
          </w:p>
        </w:tc>
      </w:tr>
      <w:tr>
        <w:tc>
          <w:tcPr>
            <w:tcW w:type="dxa" w:w="2100"/>
          </w:tcPr>
          <w:p>
            <w:pPr>
              <w:widowControl/>
              <w:spacing w:after="0"/>
            </w:pPr>
            <w:r>
              <w:rPr>
                <w:rFonts w:ascii="Calibri" w:hAnsi="Calibri"/>
                <w:b w:val="0"/>
                <w:i w:val="0"/>
                <w:color w:val="172B4D"/>
                <w:sz w:val="18"/>
              </w:rPr>
              <w:t>Cadence</w:t>
            </w:r>
          </w:p>
        </w:tc>
        <w:tc>
          <w:tcPr>
            <w:tcW w:type="dxa" w:w="7260"/>
          </w:tcPr>
          <w:p>
            <w:pPr>
              <w:widowControl/>
              <w:spacing w:after="0"/>
            </w:pPr>
            <w:r>
              <w:rPr>
                <w:rFonts w:ascii="Calibri" w:hAnsi="Calibri"/>
                <w:b w:val="0"/>
                <w:i w:val="0"/>
                <w:color w:val="172B4D"/>
                <w:sz w:val="18"/>
              </w:rPr>
              <w:t>Real-time, daily, weekly, monthly or campaign period.</w:t>
            </w:r>
          </w:p>
        </w:tc>
      </w:tr>
      <w:tr>
        <w:tc>
          <w:tcPr>
            <w:tcW w:type="dxa" w:w="2100"/>
          </w:tcPr>
          <w:p>
            <w:pPr>
              <w:widowControl/>
              <w:spacing w:after="0"/>
            </w:pPr>
            <w:r>
              <w:rPr>
                <w:rFonts w:ascii="Calibri" w:hAnsi="Calibri"/>
                <w:b w:val="0"/>
                <w:i w:val="0"/>
                <w:color w:val="172B4D"/>
                <w:sz w:val="18"/>
              </w:rPr>
              <w:t>Confidence</w:t>
            </w:r>
          </w:p>
        </w:tc>
        <w:tc>
          <w:tcPr>
            <w:tcW w:type="dxa" w:w="7260"/>
          </w:tcPr>
          <w:p>
            <w:pPr>
              <w:widowControl/>
              <w:spacing w:after="0"/>
            </w:pPr>
            <w:r>
              <w:rPr>
                <w:rFonts w:ascii="Calibri" w:hAnsi="Calibri"/>
                <w:b w:val="0"/>
                <w:i w:val="0"/>
                <w:color w:val="172B4D"/>
                <w:sz w:val="18"/>
              </w:rPr>
              <w:t>Coverage limits, missing data and calculation confidence.</w:t>
            </w:r>
          </w:p>
        </w:tc>
      </w:tr>
      <w:tr>
        <w:tc>
          <w:tcPr>
            <w:tcW w:type="dxa" w:w="2100"/>
          </w:tcPr>
          <w:p>
            <w:pPr>
              <w:widowControl/>
              <w:spacing w:after="0"/>
            </w:pPr>
            <w:r>
              <w:rPr>
                <w:rFonts w:ascii="Calibri" w:hAnsi="Calibri"/>
                <w:b w:val="0"/>
                <w:i w:val="0"/>
                <w:color w:val="172B4D"/>
                <w:sz w:val="18"/>
              </w:rPr>
              <w:t>Drill-down</w:t>
            </w:r>
          </w:p>
        </w:tc>
        <w:tc>
          <w:tcPr>
            <w:tcW w:type="dxa" w:w="7260"/>
          </w:tcPr>
          <w:p>
            <w:pPr>
              <w:widowControl/>
              <w:spacing w:after="0"/>
            </w:pPr>
            <w:r>
              <w:rPr>
                <w:rFonts w:ascii="Calibri" w:hAnsi="Calibri"/>
                <w:b w:val="0"/>
                <w:i w:val="0"/>
                <w:color w:val="172B4D"/>
                <w:sz w:val="18"/>
              </w:rPr>
              <w:t>The source records supporting the result.</w:t>
            </w:r>
          </w:p>
        </w:tc>
      </w:tr>
    </w:tbl>
    <w:p>
      <w:pPr>
        <w:widowControl/>
        <w:spacing w:after="0"/>
      </w:pPr>
    </w:p>
    <w:p>
      <w:pPr>
        <w:pStyle w:val="Heading2"/>
        <w:widowControl/>
      </w:pPr>
      <w:r>
        <w:t>7.8 Reporting and Executive Briefs</w:t>
      </w:r>
    </w:p>
    <w:p>
      <w:pPr>
        <w:pStyle w:val="ListBullet"/>
        <w:widowControl/>
      </w:pPr>
      <w:r>
        <w:rPr>
          <w:rFonts w:ascii="Calibri" w:hAnsi="Calibri"/>
          <w:b w:val="0"/>
          <w:i w:val="0"/>
          <w:color w:val="172B4D"/>
          <w:sz w:val="22"/>
        </w:rPr>
        <w:t>Two report types: live dashboards for exploration and fixed-period reports for accountability.</w:t>
      </w:r>
    </w:p>
    <w:p>
      <w:pPr>
        <w:pStyle w:val="ListBullet"/>
        <w:widowControl/>
      </w:pPr>
      <w:r>
        <w:rPr>
          <w:rFonts w:ascii="Calibri" w:hAnsi="Calibri"/>
          <w:b w:val="0"/>
          <w:i w:val="0"/>
          <w:color w:val="172B4D"/>
          <w:sz w:val="22"/>
        </w:rPr>
        <w:t>Templates for daily brief, weekly reputation report, campaign report, social performance, earned-media report, crisis review and executive/board report.</w:t>
      </w:r>
    </w:p>
    <w:p>
      <w:pPr>
        <w:pStyle w:val="ListBullet"/>
        <w:widowControl/>
      </w:pPr>
      <w:r>
        <w:rPr>
          <w:rFonts w:ascii="Calibri" w:hAnsi="Calibri"/>
          <w:b w:val="0"/>
          <w:i w:val="0"/>
          <w:color w:val="172B4D"/>
          <w:sz w:val="22"/>
        </w:rPr>
        <w:t>AI drafts narrative sections using only selected evidence and defined metrics; users review and lock the final version.</w:t>
      </w:r>
    </w:p>
    <w:p>
      <w:pPr>
        <w:pStyle w:val="ListBullet"/>
        <w:widowControl/>
      </w:pPr>
      <w:r>
        <w:rPr>
          <w:rFonts w:ascii="Calibri" w:hAnsi="Calibri"/>
          <w:b w:val="0"/>
          <w:i w:val="0"/>
          <w:color w:val="172B4D"/>
          <w:sz w:val="22"/>
        </w:rPr>
        <w:t>Scheduled delivery by secure link, email attachment or approved collaboration channel.</w:t>
      </w:r>
    </w:p>
    <w:p>
      <w:pPr>
        <w:pStyle w:val="ListBullet"/>
        <w:widowControl/>
      </w:pPr>
      <w:r>
        <w:rPr>
          <w:rFonts w:ascii="Calibri" w:hAnsi="Calibri"/>
          <w:b w:val="0"/>
          <w:i w:val="0"/>
          <w:color w:val="172B4D"/>
          <w:sz w:val="22"/>
        </w:rPr>
        <w:t>Export to PDF, PowerPoint-ready images, CSV/XLSX and API/BI feeds.</w:t>
      </w:r>
    </w:p>
    <w:p>
      <w:pPr>
        <w:pStyle w:val="ListBullet"/>
        <w:widowControl/>
      </w:pPr>
      <w:r>
        <w:rPr>
          <w:rFonts w:ascii="Calibri" w:hAnsi="Calibri"/>
          <w:b w:val="0"/>
          <w:i w:val="0"/>
          <w:color w:val="172B4D"/>
          <w:sz w:val="22"/>
        </w:rPr>
        <w:t>A report manifest records data cut-off, query versions, exclusions, edits and approver.</w:t>
      </w:r>
    </w:p>
    <w:p>
      <w:pPr>
        <w:pStyle w:val="Heading2"/>
        <w:widowControl/>
      </w:pPr>
      <w:r>
        <w:t>7.9 Crisis Room</w:t>
      </w:r>
    </w:p>
    <w:p>
      <w:pPr>
        <w:pStyle w:val="ListBullet"/>
        <w:widowControl/>
      </w:pPr>
      <w:r>
        <w:rPr>
          <w:rFonts w:ascii="Calibri" w:hAnsi="Calibri"/>
          <w:b w:val="0"/>
          <w:i w:val="0"/>
          <w:color w:val="172B4D"/>
          <w:sz w:val="22"/>
        </w:rPr>
        <w:t>Incident creation from an alert or case, with severity, owner and incident commander.</w:t>
      </w:r>
    </w:p>
    <w:p>
      <w:pPr>
        <w:pStyle w:val="ListBullet"/>
        <w:widowControl/>
      </w:pPr>
      <w:r>
        <w:rPr>
          <w:rFonts w:ascii="Calibri" w:hAnsi="Calibri"/>
          <w:b w:val="0"/>
          <w:i w:val="0"/>
          <w:color w:val="172B4D"/>
          <w:sz w:val="22"/>
        </w:rPr>
        <w:t>Live timeline joining coverage, social posts, internal decisions and published statements.</w:t>
      </w:r>
    </w:p>
    <w:p>
      <w:pPr>
        <w:pStyle w:val="ListBullet"/>
        <w:widowControl/>
      </w:pPr>
      <w:r>
        <w:rPr>
          <w:rFonts w:ascii="Calibri" w:hAnsi="Calibri"/>
          <w:b w:val="0"/>
          <w:i w:val="0"/>
          <w:color w:val="172B4D"/>
          <w:sz w:val="22"/>
        </w:rPr>
        <w:t>Stakeholder map and notification checklist.</w:t>
      </w:r>
    </w:p>
    <w:p>
      <w:pPr>
        <w:pStyle w:val="ListBullet"/>
        <w:widowControl/>
      </w:pPr>
      <w:r>
        <w:rPr>
          <w:rFonts w:ascii="Calibri" w:hAnsi="Calibri"/>
          <w:b w:val="0"/>
          <w:i w:val="0"/>
          <w:color w:val="172B4D"/>
          <w:sz w:val="22"/>
        </w:rPr>
        <w:t>Approved playbooks with triggers, roles, message templates and escalation thresholds.</w:t>
      </w:r>
    </w:p>
    <w:p>
      <w:pPr>
        <w:pStyle w:val="ListBullet"/>
        <w:widowControl/>
      </w:pPr>
      <w:r>
        <w:rPr>
          <w:rFonts w:ascii="Calibri" w:hAnsi="Calibri"/>
          <w:b w:val="0"/>
          <w:i w:val="0"/>
          <w:color w:val="172B4D"/>
          <w:sz w:val="22"/>
        </w:rPr>
        <w:t>Holding statement workflow and multi-channel publication.</w:t>
      </w:r>
    </w:p>
    <w:p>
      <w:pPr>
        <w:pStyle w:val="ListBullet"/>
        <w:widowControl/>
      </w:pPr>
      <w:r>
        <w:rPr>
          <w:rFonts w:ascii="Calibri" w:hAnsi="Calibri"/>
          <w:b w:val="0"/>
          <w:i w:val="0"/>
          <w:color w:val="172B4D"/>
          <w:sz w:val="22"/>
        </w:rPr>
        <w:t>Situation reports at defined intervals and post-incident review with response-time metrics.</w:t>
      </w:r>
    </w:p>
    <w:p>
      <w:pPr>
        <w:pStyle w:val="Heading2"/>
        <w:widowControl/>
      </w:pPr>
      <w:r>
        <w:t>7.10 AI Copilot</w:t>
      </w:r>
    </w:p>
    <w:p>
      <w:pPr>
        <w:pStyle w:val="ListBullet"/>
        <w:widowControl/>
      </w:pPr>
      <w:r>
        <w:rPr>
          <w:rFonts w:ascii="Calibri" w:hAnsi="Calibri"/>
          <w:b w:val="0"/>
          <w:i w:val="0"/>
          <w:color w:val="172B4D"/>
          <w:sz w:val="22"/>
        </w:rPr>
        <w:t>Explain: summarise what changed and cite representative evidence.</w:t>
      </w:r>
    </w:p>
    <w:p>
      <w:pPr>
        <w:pStyle w:val="ListBullet"/>
        <w:widowControl/>
      </w:pPr>
      <w:r>
        <w:rPr>
          <w:rFonts w:ascii="Calibri" w:hAnsi="Calibri"/>
          <w:b w:val="0"/>
          <w:i w:val="0"/>
          <w:color w:val="172B4D"/>
          <w:sz w:val="22"/>
        </w:rPr>
        <w:t>Search: turn natural language into a transparent, editable query.</w:t>
      </w:r>
    </w:p>
    <w:p>
      <w:pPr>
        <w:pStyle w:val="ListBullet"/>
        <w:widowControl/>
      </w:pPr>
      <w:r>
        <w:rPr>
          <w:rFonts w:ascii="Calibri" w:hAnsi="Calibri"/>
          <w:b w:val="0"/>
          <w:i w:val="0"/>
          <w:color w:val="172B4D"/>
          <w:sz w:val="22"/>
        </w:rPr>
        <w:t>Classify: suggest issue, topic, sentiment, risk and routing labels with confidence.</w:t>
      </w:r>
    </w:p>
    <w:p>
      <w:pPr>
        <w:pStyle w:val="ListBullet"/>
        <w:widowControl/>
      </w:pPr>
      <w:r>
        <w:rPr>
          <w:rFonts w:ascii="Calibri" w:hAnsi="Calibri"/>
          <w:b w:val="0"/>
          <w:i w:val="0"/>
          <w:color w:val="172B4D"/>
          <w:sz w:val="22"/>
        </w:rPr>
        <w:t>Recommend: propose next actions based on playbooks, SLAs and similar resolved cases.</w:t>
      </w:r>
    </w:p>
    <w:p>
      <w:pPr>
        <w:pStyle w:val="ListBullet"/>
        <w:widowControl/>
      </w:pPr>
      <w:r>
        <w:rPr>
          <w:rFonts w:ascii="Calibri" w:hAnsi="Calibri"/>
          <w:b w:val="0"/>
          <w:i w:val="0"/>
          <w:color w:val="172B4D"/>
          <w:sz w:val="22"/>
        </w:rPr>
        <w:t>Create: draft social posts, responses, briefs and report narratives in the approved voice.</w:t>
      </w:r>
    </w:p>
    <w:p>
      <w:pPr>
        <w:pStyle w:val="ListBullet"/>
        <w:widowControl/>
      </w:pPr>
      <w:r>
        <w:rPr>
          <w:rFonts w:ascii="Calibri" w:hAnsi="Calibri"/>
          <w:b w:val="0"/>
          <w:i w:val="0"/>
          <w:color w:val="172B4D"/>
          <w:sz w:val="22"/>
        </w:rPr>
        <w:t>Verify: flag unsupported statements, conflicting numbers, missing evidence and sensitive content.</w:t>
      </w:r>
    </w:p>
    <w:p>
      <w:pPr>
        <w:pStyle w:val="ListBullet"/>
        <w:widowControl/>
      </w:pPr>
      <w:r>
        <w:rPr>
          <w:rFonts w:ascii="Calibri" w:hAnsi="Calibri"/>
          <w:b w:val="0"/>
          <w:i w:val="0"/>
          <w:color w:val="172B4D"/>
          <w:sz w:val="22"/>
        </w:rPr>
        <w:t>Never autonomously publish or send sensitive responses unless a tenant explicitly enables a low-risk policy with audit and rollback.</w:t>
      </w:r>
    </w:p>
    <w:p>
      <w:pPr>
        <w:pStyle w:val="Heading1"/>
        <w:pageBreakBefore/>
        <w:widowControl/>
      </w:pPr>
      <w:r>
        <w:t>8. Critical end-to-end workflows</w:t>
      </w:r>
    </w:p>
    <w:p>
      <w:pPr>
        <w:pStyle w:val="Heading2"/>
        <w:widowControl/>
      </w:pPr>
      <w:r>
        <w:t>8.1 Emerging issue to approved response</w:t>
      </w:r>
    </w:p>
    <w:p>
      <w:pPr>
        <w:pStyle w:val="ListNumber"/>
        <w:widowControl/>
        <w:numPr>
          <w:ilvl w:val="0"/>
          <w:numId w:val="12"/>
        </w:numPr>
      </w:pPr>
      <w:r>
        <w:rPr>
          <w:rFonts w:ascii="Calibri" w:hAnsi="Calibri"/>
          <w:b w:val="0"/>
          <w:i w:val="0"/>
          <w:color w:val="172B4D"/>
          <w:sz w:val="22"/>
        </w:rPr>
        <w:t>A monitored query detects an abnormal rise in volume and a negative narrative cluster.</w:t>
      </w:r>
    </w:p>
    <w:p>
      <w:pPr>
        <w:pStyle w:val="ListNumber"/>
        <w:widowControl/>
        <w:numPr>
          <w:ilvl w:val="0"/>
          <w:numId w:val="12"/>
        </w:numPr>
      </w:pPr>
      <w:r>
        <w:rPr>
          <w:rFonts w:ascii="Calibri" w:hAnsi="Calibri"/>
          <w:b w:val="0"/>
          <w:i w:val="0"/>
          <w:color w:val="172B4D"/>
          <w:sz w:val="22"/>
        </w:rPr>
        <w:t>The system verifies source diversity, groups duplicates and assigns a confidence/severity score.</w:t>
      </w:r>
    </w:p>
    <w:p>
      <w:pPr>
        <w:pStyle w:val="ListNumber"/>
        <w:widowControl/>
        <w:numPr>
          <w:ilvl w:val="0"/>
          <w:numId w:val="12"/>
        </w:numPr>
      </w:pPr>
      <w:r>
        <w:rPr>
          <w:rFonts w:ascii="Calibri" w:hAnsi="Calibri"/>
          <w:b w:val="0"/>
          <w:i w:val="0"/>
          <w:color w:val="172B4D"/>
          <w:sz w:val="22"/>
        </w:rPr>
        <w:t>An alert reaches the designated duty team and creates a triage case.</w:t>
      </w:r>
    </w:p>
    <w:p>
      <w:pPr>
        <w:pStyle w:val="ListNumber"/>
        <w:widowControl/>
        <w:numPr>
          <w:ilvl w:val="0"/>
          <w:numId w:val="12"/>
        </w:numPr>
      </w:pPr>
      <w:r>
        <w:rPr>
          <w:rFonts w:ascii="Calibri" w:hAnsi="Calibri"/>
          <w:b w:val="0"/>
          <w:i w:val="0"/>
          <w:color w:val="172B4D"/>
          <w:sz w:val="22"/>
        </w:rPr>
        <w:t>The analyst reviews representative evidence, corrects classification if needed and identifies affected stakeholders.</w:t>
      </w:r>
    </w:p>
    <w:p>
      <w:pPr>
        <w:pStyle w:val="ListNumber"/>
        <w:widowControl/>
        <w:numPr>
          <w:ilvl w:val="0"/>
          <w:numId w:val="12"/>
        </w:numPr>
      </w:pPr>
      <w:r>
        <w:rPr>
          <w:rFonts w:ascii="Calibri" w:hAnsi="Calibri"/>
          <w:b w:val="0"/>
          <w:i w:val="0"/>
          <w:color w:val="172B4D"/>
          <w:sz w:val="22"/>
        </w:rPr>
        <w:t>The case is routed to an owner with first-response and resolution SLAs.</w:t>
      </w:r>
    </w:p>
    <w:p>
      <w:pPr>
        <w:pStyle w:val="ListNumber"/>
        <w:widowControl/>
        <w:numPr>
          <w:ilvl w:val="0"/>
          <w:numId w:val="12"/>
        </w:numPr>
      </w:pPr>
      <w:r>
        <w:rPr>
          <w:rFonts w:ascii="Calibri" w:hAnsi="Calibri"/>
          <w:b w:val="0"/>
          <w:i w:val="0"/>
          <w:color w:val="172B4D"/>
          <w:sz w:val="22"/>
        </w:rPr>
        <w:t>The copilot proposes a response using approved facts and the current conversation; the owner edits it.</w:t>
      </w:r>
    </w:p>
    <w:p>
      <w:pPr>
        <w:pStyle w:val="ListNumber"/>
        <w:widowControl/>
        <w:numPr>
          <w:ilvl w:val="0"/>
          <w:numId w:val="12"/>
        </w:numPr>
      </w:pPr>
      <w:r>
        <w:rPr>
          <w:rFonts w:ascii="Calibri" w:hAnsi="Calibri"/>
          <w:b w:val="0"/>
          <w:i w:val="0"/>
          <w:color w:val="172B4D"/>
          <w:sz w:val="22"/>
        </w:rPr>
        <w:t>Required communications/legal approvers review in sequence or parallel according to policy.</w:t>
      </w:r>
    </w:p>
    <w:p>
      <w:pPr>
        <w:pStyle w:val="ListNumber"/>
        <w:widowControl/>
        <w:numPr>
          <w:ilvl w:val="0"/>
          <w:numId w:val="12"/>
        </w:numPr>
      </w:pPr>
      <w:r>
        <w:rPr>
          <w:rFonts w:ascii="Calibri" w:hAnsi="Calibri"/>
          <w:b w:val="0"/>
          <w:i w:val="0"/>
          <w:color w:val="172B4D"/>
          <w:sz w:val="22"/>
        </w:rPr>
        <w:t>The approved response is published to selected channels; failures or partial publication are visible.</w:t>
      </w:r>
    </w:p>
    <w:p>
      <w:pPr>
        <w:pStyle w:val="ListNumber"/>
        <w:widowControl/>
        <w:numPr>
          <w:ilvl w:val="0"/>
          <w:numId w:val="12"/>
        </w:numPr>
      </w:pPr>
      <w:r>
        <w:rPr>
          <w:rFonts w:ascii="Calibri" w:hAnsi="Calibri"/>
          <w:b w:val="0"/>
          <w:i w:val="0"/>
          <w:color w:val="172B4D"/>
          <w:sz w:val="22"/>
        </w:rPr>
        <w:t>The system tracks subsequent volume, sentiment and narrative change against a response baseline.</w:t>
      </w:r>
    </w:p>
    <w:p>
      <w:pPr>
        <w:pStyle w:val="ListNumber"/>
        <w:widowControl/>
        <w:numPr>
          <w:ilvl w:val="0"/>
          <w:numId w:val="12"/>
        </w:numPr>
      </w:pPr>
      <w:r>
        <w:rPr>
          <w:rFonts w:ascii="Calibri" w:hAnsi="Calibri"/>
          <w:b w:val="0"/>
          <w:i w:val="0"/>
          <w:color w:val="172B4D"/>
          <w:sz w:val="22"/>
        </w:rPr>
        <w:t>The original signal, decisions, final response and outcome are locked into an evidence bundle.</w:t>
      </w:r>
    </w:p>
    <w:p>
      <w:pPr>
        <w:pStyle w:val="Heading2"/>
        <w:widowControl/>
      </w:pPr>
      <w:r>
        <w:t>8.2 Planned campaign to performance report</w:t>
      </w:r>
    </w:p>
    <w:p>
      <w:pPr>
        <w:pStyle w:val="ListNumber"/>
        <w:widowControl/>
        <w:numPr>
          <w:ilvl w:val="0"/>
          <w:numId w:val="13"/>
        </w:numPr>
      </w:pPr>
      <w:r>
        <w:rPr>
          <w:rFonts w:ascii="Calibri" w:hAnsi="Calibri"/>
          <w:b w:val="0"/>
          <w:i w:val="0"/>
          <w:color w:val="172B4D"/>
          <w:sz w:val="22"/>
        </w:rPr>
        <w:t>Campaign owner defines objective, audience, dates, markets, budget, message pillars and KPIs.</w:t>
      </w:r>
    </w:p>
    <w:p>
      <w:pPr>
        <w:pStyle w:val="ListNumber"/>
        <w:widowControl/>
        <w:numPr>
          <w:ilvl w:val="0"/>
          <w:numId w:val="13"/>
        </w:numPr>
      </w:pPr>
      <w:r>
        <w:rPr>
          <w:rFonts w:ascii="Calibri" w:hAnsi="Calibri"/>
          <w:b w:val="0"/>
          <w:i w:val="0"/>
          <w:color w:val="172B4D"/>
          <w:sz w:val="22"/>
        </w:rPr>
        <w:t>Analyst attaches listening queries, competitor set and baseline period.</w:t>
      </w:r>
    </w:p>
    <w:p>
      <w:pPr>
        <w:pStyle w:val="ListNumber"/>
        <w:widowControl/>
        <w:numPr>
          <w:ilvl w:val="0"/>
          <w:numId w:val="13"/>
        </w:numPr>
      </w:pPr>
      <w:r>
        <w:rPr>
          <w:rFonts w:ascii="Calibri" w:hAnsi="Calibri"/>
          <w:b w:val="0"/>
          <w:i w:val="0"/>
          <w:color w:val="172B4D"/>
          <w:sz w:val="22"/>
        </w:rPr>
        <w:t>Content team creates master posts and network variants; assets and rights are validated.</w:t>
      </w:r>
    </w:p>
    <w:p>
      <w:pPr>
        <w:pStyle w:val="ListNumber"/>
        <w:widowControl/>
        <w:numPr>
          <w:ilvl w:val="0"/>
          <w:numId w:val="13"/>
        </w:numPr>
      </w:pPr>
      <w:r>
        <w:rPr>
          <w:rFonts w:ascii="Calibri" w:hAnsi="Calibri"/>
          <w:b w:val="0"/>
          <w:i w:val="0"/>
          <w:color w:val="172B4D"/>
          <w:sz w:val="22"/>
        </w:rPr>
        <w:t>Posts pass approval and are scheduled; earned-media and influencer activities are linked.</w:t>
      </w:r>
    </w:p>
    <w:p>
      <w:pPr>
        <w:pStyle w:val="ListNumber"/>
        <w:widowControl/>
        <w:numPr>
          <w:ilvl w:val="0"/>
          <w:numId w:val="13"/>
        </w:numPr>
      </w:pPr>
      <w:r>
        <w:rPr>
          <w:rFonts w:ascii="Calibri" w:hAnsi="Calibri"/>
          <w:b w:val="0"/>
          <w:i w:val="0"/>
          <w:color w:val="172B4D"/>
          <w:sz w:val="22"/>
        </w:rPr>
        <w:t>During flight, the dashboard joins owned performance, earned coverage, conversation and cost data.</w:t>
      </w:r>
    </w:p>
    <w:p>
      <w:pPr>
        <w:pStyle w:val="ListNumber"/>
        <w:widowControl/>
        <w:numPr>
          <w:ilvl w:val="0"/>
          <w:numId w:val="13"/>
        </w:numPr>
      </w:pPr>
      <w:r>
        <w:rPr>
          <w:rFonts w:ascii="Calibri" w:hAnsi="Calibri"/>
          <w:b w:val="0"/>
          <w:i w:val="0"/>
          <w:color w:val="172B4D"/>
          <w:sz w:val="22"/>
        </w:rPr>
        <w:t>Alerts flag underperformance, unexpected narrative shifts or opportunity topics.</w:t>
      </w:r>
    </w:p>
    <w:p>
      <w:pPr>
        <w:pStyle w:val="ListNumber"/>
        <w:widowControl/>
        <w:numPr>
          <w:ilvl w:val="0"/>
          <w:numId w:val="13"/>
        </w:numPr>
      </w:pPr>
      <w:r>
        <w:rPr>
          <w:rFonts w:ascii="Calibri" w:hAnsi="Calibri"/>
          <w:b w:val="0"/>
          <w:i w:val="0"/>
          <w:color w:val="172B4D"/>
          <w:sz w:val="22"/>
        </w:rPr>
        <w:t>At close, Mi‑Insite produces a draft evidence-grounded report, while the campaign owner adds interpretation and recommendations.</w:t>
      </w:r>
    </w:p>
    <w:p>
      <w:pPr>
        <w:pStyle w:val="ListNumber"/>
        <w:widowControl/>
        <w:numPr>
          <w:ilvl w:val="0"/>
          <w:numId w:val="13"/>
        </w:numPr>
      </w:pPr>
      <w:r>
        <w:rPr>
          <w:rFonts w:ascii="Calibri" w:hAnsi="Calibri"/>
          <w:b w:val="0"/>
          <w:i w:val="0"/>
          <w:color w:val="172B4D"/>
          <w:sz w:val="22"/>
        </w:rPr>
        <w:t>Final report and content/coverage archive remain searchable for benchmarking future campaigns.</w:t>
      </w:r>
    </w:p>
    <w:p>
      <w:pPr>
        <w:pStyle w:val="Heading2"/>
        <w:widowControl/>
      </w:pPr>
      <w:r>
        <w:t>8.3 Public complaint to resolved case</w:t>
      </w:r>
    </w:p>
    <w:p>
      <w:pPr>
        <w:pStyle w:val="ListNumber"/>
        <w:widowControl/>
        <w:numPr>
          <w:ilvl w:val="0"/>
          <w:numId w:val="14"/>
        </w:numPr>
      </w:pPr>
      <w:r>
        <w:rPr>
          <w:rFonts w:ascii="Calibri" w:hAnsi="Calibri"/>
          <w:b w:val="0"/>
          <w:i w:val="0"/>
          <w:color w:val="172B4D"/>
          <w:sz w:val="22"/>
        </w:rPr>
        <w:t>A comment, message, review or monitored mention enters Inbox.</w:t>
      </w:r>
    </w:p>
    <w:p>
      <w:pPr>
        <w:pStyle w:val="ListNumber"/>
        <w:widowControl/>
        <w:numPr>
          <w:ilvl w:val="0"/>
          <w:numId w:val="14"/>
        </w:numPr>
      </w:pPr>
      <w:r>
        <w:rPr>
          <w:rFonts w:ascii="Calibri" w:hAnsi="Calibri"/>
          <w:b w:val="0"/>
          <w:i w:val="0"/>
          <w:color w:val="172B4D"/>
          <w:sz w:val="22"/>
        </w:rPr>
        <w:t>Routing rules identify language, issue category, customer context and sensitivity.</w:t>
      </w:r>
    </w:p>
    <w:p>
      <w:pPr>
        <w:pStyle w:val="ListNumber"/>
        <w:widowControl/>
        <w:numPr>
          <w:ilvl w:val="0"/>
          <w:numId w:val="14"/>
        </w:numPr>
      </w:pPr>
      <w:r>
        <w:rPr>
          <w:rFonts w:ascii="Calibri" w:hAnsi="Calibri"/>
          <w:b w:val="0"/>
          <w:i w:val="0"/>
          <w:color w:val="172B4D"/>
          <w:sz w:val="22"/>
        </w:rPr>
        <w:t>Duplicate messages are grouped; the case displays complete interaction history and service timer.</w:t>
      </w:r>
    </w:p>
    <w:p>
      <w:pPr>
        <w:pStyle w:val="ListNumber"/>
        <w:widowControl/>
        <w:numPr>
          <w:ilvl w:val="0"/>
          <w:numId w:val="14"/>
        </w:numPr>
      </w:pPr>
      <w:r>
        <w:rPr>
          <w:rFonts w:ascii="Calibri" w:hAnsi="Calibri"/>
          <w:b w:val="0"/>
          <w:i w:val="0"/>
          <w:color w:val="172B4D"/>
          <w:sz w:val="22"/>
        </w:rPr>
        <w:t>A community manager responds, asks for private information only through an approved secure channel, or escalates to service/compliance.</w:t>
      </w:r>
    </w:p>
    <w:p>
      <w:pPr>
        <w:pStyle w:val="ListNumber"/>
        <w:widowControl/>
        <w:numPr>
          <w:ilvl w:val="0"/>
          <w:numId w:val="14"/>
        </w:numPr>
      </w:pPr>
      <w:r>
        <w:rPr>
          <w:rFonts w:ascii="Calibri" w:hAnsi="Calibri"/>
          <w:b w:val="0"/>
          <w:i w:val="0"/>
          <w:color w:val="172B4D"/>
          <w:sz w:val="22"/>
        </w:rPr>
        <w:t>Internal notes and status updates are recorded; collision detection prevents double replies.</w:t>
      </w:r>
    </w:p>
    <w:p>
      <w:pPr>
        <w:pStyle w:val="ListNumber"/>
        <w:widowControl/>
        <w:numPr>
          <w:ilvl w:val="0"/>
          <w:numId w:val="14"/>
        </w:numPr>
      </w:pPr>
      <w:r>
        <w:rPr>
          <w:rFonts w:ascii="Calibri" w:hAnsi="Calibri"/>
          <w:b w:val="0"/>
          <w:i w:val="0"/>
          <w:color w:val="172B4D"/>
          <w:sz w:val="22"/>
        </w:rPr>
        <w:t>Resolution code and customer outcome are selected, with optional quality review.</w:t>
      </w:r>
    </w:p>
    <w:p>
      <w:pPr>
        <w:pStyle w:val="ListNumber"/>
        <w:widowControl/>
        <w:numPr>
          <w:ilvl w:val="0"/>
          <w:numId w:val="14"/>
        </w:numPr>
      </w:pPr>
      <w:r>
        <w:rPr>
          <w:rFonts w:ascii="Calibri" w:hAnsi="Calibri"/>
          <w:b w:val="0"/>
          <w:i w:val="0"/>
          <w:color w:val="172B4D"/>
          <w:sz w:val="22"/>
        </w:rPr>
        <w:t>The interaction is archived according to retention policy and contributes to response, resolution and issue-trend KPIs.</w:t>
      </w:r>
    </w:p>
    <w:p>
      <w:pPr>
        <w:pStyle w:val="Heading1"/>
        <w:pageBreakBefore/>
        <w:widowControl/>
      </w:pPr>
      <w:r>
        <w:t>9. Functional requirements catalogue</w:t>
      </w:r>
    </w:p>
    <w:p>
      <w:pPr>
        <w:widowControl/>
      </w:pPr>
      <w:r>
        <w:rPr>
          <w:rFonts w:ascii="Calibri" w:hAnsi="Calibri"/>
          <w:b w:val="0"/>
          <w:i w:val="0"/>
          <w:color w:val="172B4D"/>
          <w:sz w:val="22"/>
        </w:rPr>
        <w:t>Priority uses Must / Should / Could / Later. “Must” defines a coherent commercial MVP rather than the full long-term vision.</w:t>
      </w:r>
    </w:p>
    <w:tbl>
      <w:tblPr>
        <w:tblW w:type="dxa" w:w="9360"/>
        <w:jc w:val="left"/>
        <w:tblLayout w:type="fixed"/>
        <w:tblLook w:firstColumn="1" w:firstRow="1" w:lastColumn="0" w:lastRow="0" w:noHBand="0" w:noVBand="1" w:val="04A0"/>
        <w:tblInd w:w="120" w:type="dxa"/>
        <w:tblBorders>
          <w:top w:val="single" w:sz="5" w:color="D0D5DD"/>
          <w:left w:val="single" w:sz="5" w:color="D0D5DD"/>
          <w:bottom w:val="single" w:sz="5" w:color="D0D5DD"/>
          <w:right w:val="single" w:sz="5" w:color="D0D5DD"/>
          <w:insideH w:val="single" w:sz="5" w:color="D0D5DD"/>
          <w:insideV w:val="single" w:sz="5" w:color="D0D5DD"/>
        </w:tblBorders>
      </w:tblPr>
      <w:tblGrid>
        <w:gridCol w:w="1050"/>
        <w:gridCol w:w="7080"/>
        <w:gridCol w:w="1230"/>
      </w:tblGrid>
      <w:tr>
        <w:trPr>
          <w:tblHeader w:val="true"/>
        </w:trPr>
        <w:tc>
          <w:tcPr>
            <w:tcW w:type="dxa" w:w="1050"/>
            <w:vAlign w:val="center"/>
            <w:tcMar>
              <w:top w:w="80" w:type="dxa"/>
              <w:start w:w="120" w:type="dxa"/>
              <w:bottom w:w="80" w:type="dxa"/>
              <w:end w:w="120" w:type="dxa"/>
            </w:tcMar>
            <w:shd w:fill="F2F4F7"/>
          </w:tcPr>
          <w:p>
            <w:pPr>
              <w:widowControl/>
              <w:spacing w:after="0"/>
            </w:pPr>
            <w:r>
              <w:rPr>
                <w:rFonts w:ascii="Calibri" w:hAnsi="Calibri"/>
                <w:b/>
                <w:i w:val="0"/>
                <w:color w:val="0B2545"/>
                <w:sz w:val="17"/>
              </w:rPr>
              <w:t>ID</w:t>
            </w:r>
          </w:p>
        </w:tc>
        <w:tc>
          <w:tcPr>
            <w:tcW w:type="dxa" w:w="7080"/>
            <w:vAlign w:val="center"/>
            <w:tcMar>
              <w:top w:w="80" w:type="dxa"/>
              <w:start w:w="120" w:type="dxa"/>
              <w:bottom w:w="80" w:type="dxa"/>
              <w:end w:w="120" w:type="dxa"/>
            </w:tcMar>
            <w:shd w:fill="F2F4F7"/>
          </w:tcPr>
          <w:p>
            <w:pPr>
              <w:widowControl/>
              <w:spacing w:after="0"/>
            </w:pPr>
            <w:r>
              <w:rPr>
                <w:rFonts w:ascii="Calibri" w:hAnsi="Calibri"/>
                <w:b/>
                <w:i w:val="0"/>
                <w:color w:val="0B2545"/>
                <w:sz w:val="17"/>
              </w:rPr>
              <w:t>Requirement</w:t>
            </w:r>
          </w:p>
        </w:tc>
        <w:tc>
          <w:tcPr>
            <w:tcW w:type="dxa" w:w="1230"/>
            <w:vAlign w:val="center"/>
            <w:tcMar>
              <w:top w:w="80" w:type="dxa"/>
              <w:start w:w="120" w:type="dxa"/>
              <w:bottom w:w="80" w:type="dxa"/>
              <w:end w:w="120" w:type="dxa"/>
            </w:tcMar>
            <w:shd w:fill="F2F4F7"/>
          </w:tcPr>
          <w:p>
            <w:pPr>
              <w:widowControl/>
              <w:spacing w:after="0"/>
            </w:pPr>
            <w:r>
              <w:rPr>
                <w:rFonts w:ascii="Calibri" w:hAnsi="Calibri"/>
                <w:b/>
                <w:i w:val="0"/>
                <w:color w:val="0B2545"/>
                <w:sz w:val="17"/>
              </w:rPr>
              <w:t>Priority</w:t>
            </w:r>
          </w:p>
        </w:tc>
      </w:tr>
      <w:tr>
        <w:tc>
          <w:tcPr>
            <w:tcW w:type="dxa" w:w="1050"/>
          </w:tcPr>
          <w:p>
            <w:pPr>
              <w:widowControl/>
              <w:spacing w:after="0"/>
            </w:pPr>
            <w:r>
              <w:rPr>
                <w:rFonts w:ascii="Calibri" w:hAnsi="Calibri"/>
                <w:b w:val="0"/>
                <w:i w:val="0"/>
                <w:color w:val="172B4D"/>
                <w:sz w:val="17"/>
              </w:rPr>
              <w:t>FR-001</w:t>
            </w:r>
          </w:p>
        </w:tc>
        <w:tc>
          <w:tcPr>
            <w:tcW w:type="dxa" w:w="7080"/>
          </w:tcPr>
          <w:p>
            <w:pPr>
              <w:widowControl/>
              <w:spacing w:after="0"/>
            </w:pPr>
            <w:r>
              <w:rPr>
                <w:rFonts w:ascii="Calibri" w:hAnsi="Calibri"/>
                <w:b w:val="0"/>
                <w:i w:val="0"/>
                <w:color w:val="172B4D"/>
                <w:sz w:val="17"/>
              </w:rPr>
              <w:t>Multi-tenant workspaces with strict client data separation.</w:t>
            </w:r>
          </w:p>
        </w:tc>
        <w:tc>
          <w:tcPr>
            <w:tcW w:type="dxa" w:w="1230"/>
          </w:tcPr>
          <w:p>
            <w:pPr>
              <w:widowControl/>
              <w:spacing w:after="0"/>
            </w:pPr>
            <w:r>
              <w:rPr>
                <w:rFonts w:ascii="Calibri" w:hAnsi="Calibri"/>
                <w:b w:val="0"/>
                <w:i w:val="0"/>
                <w:color w:val="172B4D"/>
                <w:sz w:val="17"/>
              </w:rPr>
              <w:t>Must</w:t>
            </w:r>
          </w:p>
        </w:tc>
      </w:tr>
      <w:tr>
        <w:tc>
          <w:tcPr>
            <w:tcW w:type="dxa" w:w="1050"/>
          </w:tcPr>
          <w:p>
            <w:pPr>
              <w:widowControl/>
              <w:spacing w:after="0"/>
            </w:pPr>
            <w:r>
              <w:rPr>
                <w:rFonts w:ascii="Calibri" w:hAnsi="Calibri"/>
                <w:b w:val="0"/>
                <w:i w:val="0"/>
                <w:color w:val="172B4D"/>
                <w:sz w:val="17"/>
              </w:rPr>
              <w:t>FR-002</w:t>
            </w:r>
          </w:p>
        </w:tc>
        <w:tc>
          <w:tcPr>
            <w:tcW w:type="dxa" w:w="7080"/>
          </w:tcPr>
          <w:p>
            <w:pPr>
              <w:widowControl/>
              <w:spacing w:after="0"/>
            </w:pPr>
            <w:r>
              <w:rPr>
                <w:rFonts w:ascii="Calibri" w:hAnsi="Calibri"/>
                <w:b w:val="0"/>
                <w:i w:val="0"/>
                <w:color w:val="172B4D"/>
                <w:sz w:val="17"/>
              </w:rPr>
              <w:t>Role-based access for admin, analyst, approver, publisher, responder, executive and read-only client.</w:t>
            </w:r>
          </w:p>
        </w:tc>
        <w:tc>
          <w:tcPr>
            <w:tcW w:type="dxa" w:w="1230"/>
          </w:tcPr>
          <w:p>
            <w:pPr>
              <w:widowControl/>
              <w:spacing w:after="0"/>
            </w:pPr>
            <w:r>
              <w:rPr>
                <w:rFonts w:ascii="Calibri" w:hAnsi="Calibri"/>
                <w:b w:val="0"/>
                <w:i w:val="0"/>
                <w:color w:val="172B4D"/>
                <w:sz w:val="17"/>
              </w:rPr>
              <w:t>Must</w:t>
            </w:r>
          </w:p>
        </w:tc>
      </w:tr>
      <w:tr>
        <w:tc>
          <w:tcPr>
            <w:tcW w:type="dxa" w:w="1050"/>
          </w:tcPr>
          <w:p>
            <w:pPr>
              <w:widowControl/>
              <w:spacing w:after="0"/>
            </w:pPr>
            <w:r>
              <w:rPr>
                <w:rFonts w:ascii="Calibri" w:hAnsi="Calibri"/>
                <w:b w:val="0"/>
                <w:i w:val="0"/>
                <w:color w:val="172B4D"/>
                <w:sz w:val="17"/>
              </w:rPr>
              <w:t>FR-003</w:t>
            </w:r>
          </w:p>
        </w:tc>
        <w:tc>
          <w:tcPr>
            <w:tcW w:type="dxa" w:w="7080"/>
          </w:tcPr>
          <w:p>
            <w:pPr>
              <w:widowControl/>
              <w:spacing w:after="0"/>
            </w:pPr>
            <w:r>
              <w:rPr>
                <w:rFonts w:ascii="Calibri" w:hAnsi="Calibri"/>
                <w:b w:val="0"/>
                <w:i w:val="0"/>
                <w:color w:val="172B4D"/>
                <w:sz w:val="17"/>
              </w:rPr>
              <w:t>Connect and monitor approved owned social accounts.</w:t>
            </w:r>
          </w:p>
        </w:tc>
        <w:tc>
          <w:tcPr>
            <w:tcW w:type="dxa" w:w="1230"/>
          </w:tcPr>
          <w:p>
            <w:pPr>
              <w:widowControl/>
              <w:spacing w:after="0"/>
            </w:pPr>
            <w:r>
              <w:rPr>
                <w:rFonts w:ascii="Calibri" w:hAnsi="Calibri"/>
                <w:b w:val="0"/>
                <w:i w:val="0"/>
                <w:color w:val="172B4D"/>
                <w:sz w:val="17"/>
              </w:rPr>
              <w:t>Must</w:t>
            </w:r>
          </w:p>
        </w:tc>
      </w:tr>
      <w:tr>
        <w:tc>
          <w:tcPr>
            <w:tcW w:type="dxa" w:w="1050"/>
          </w:tcPr>
          <w:p>
            <w:pPr>
              <w:widowControl/>
              <w:spacing w:after="0"/>
            </w:pPr>
            <w:r>
              <w:rPr>
                <w:rFonts w:ascii="Calibri" w:hAnsi="Calibri"/>
                <w:b w:val="0"/>
                <w:i w:val="0"/>
                <w:color w:val="172B4D"/>
                <w:sz w:val="17"/>
              </w:rPr>
              <w:t>FR-004</w:t>
            </w:r>
          </w:p>
        </w:tc>
        <w:tc>
          <w:tcPr>
            <w:tcW w:type="dxa" w:w="7080"/>
          </w:tcPr>
          <w:p>
            <w:pPr>
              <w:widowControl/>
              <w:spacing w:after="0"/>
            </w:pPr>
            <w:r>
              <w:rPr>
                <w:rFonts w:ascii="Calibri" w:hAnsi="Calibri"/>
                <w:b w:val="0"/>
                <w:i w:val="0"/>
                <w:color w:val="172B4D"/>
                <w:sz w:val="17"/>
              </w:rPr>
              <w:t>Ingest online news via licensed feed and selected RSS/direct sources.</w:t>
            </w:r>
          </w:p>
        </w:tc>
        <w:tc>
          <w:tcPr>
            <w:tcW w:type="dxa" w:w="1230"/>
          </w:tcPr>
          <w:p>
            <w:pPr>
              <w:widowControl/>
              <w:spacing w:after="0"/>
            </w:pPr>
            <w:r>
              <w:rPr>
                <w:rFonts w:ascii="Calibri" w:hAnsi="Calibri"/>
                <w:b w:val="0"/>
                <w:i w:val="0"/>
                <w:color w:val="172B4D"/>
                <w:sz w:val="17"/>
              </w:rPr>
              <w:t>Must</w:t>
            </w:r>
          </w:p>
        </w:tc>
      </w:tr>
      <w:tr>
        <w:tc>
          <w:tcPr>
            <w:tcW w:type="dxa" w:w="1050"/>
          </w:tcPr>
          <w:p>
            <w:pPr>
              <w:widowControl/>
              <w:spacing w:after="0"/>
            </w:pPr>
            <w:r>
              <w:rPr>
                <w:rFonts w:ascii="Calibri" w:hAnsi="Calibri"/>
                <w:b w:val="0"/>
                <w:i w:val="0"/>
                <w:color w:val="172B4D"/>
                <w:sz w:val="17"/>
              </w:rPr>
              <w:t>FR-005</w:t>
            </w:r>
          </w:p>
        </w:tc>
        <w:tc>
          <w:tcPr>
            <w:tcW w:type="dxa" w:w="7080"/>
          </w:tcPr>
          <w:p>
            <w:pPr>
              <w:widowControl/>
              <w:spacing w:after="0"/>
            </w:pPr>
            <w:r>
              <w:rPr>
                <w:rFonts w:ascii="Calibri" w:hAnsi="Calibri"/>
                <w:b w:val="0"/>
                <w:i w:val="0"/>
                <w:color w:val="172B4D"/>
                <w:sz w:val="17"/>
              </w:rPr>
              <w:t>Search, filter, save and share monitoring queries.</w:t>
            </w:r>
          </w:p>
        </w:tc>
        <w:tc>
          <w:tcPr>
            <w:tcW w:type="dxa" w:w="1230"/>
          </w:tcPr>
          <w:p>
            <w:pPr>
              <w:widowControl/>
              <w:spacing w:after="0"/>
            </w:pPr>
            <w:r>
              <w:rPr>
                <w:rFonts w:ascii="Calibri" w:hAnsi="Calibri"/>
                <w:b w:val="0"/>
                <w:i w:val="0"/>
                <w:color w:val="172B4D"/>
                <w:sz w:val="17"/>
              </w:rPr>
              <w:t>Must</w:t>
            </w:r>
          </w:p>
        </w:tc>
      </w:tr>
      <w:tr>
        <w:tc>
          <w:tcPr>
            <w:tcW w:type="dxa" w:w="1050"/>
          </w:tcPr>
          <w:p>
            <w:pPr>
              <w:widowControl/>
              <w:spacing w:after="0"/>
            </w:pPr>
            <w:r>
              <w:rPr>
                <w:rFonts w:ascii="Calibri" w:hAnsi="Calibri"/>
                <w:b w:val="0"/>
                <w:i w:val="0"/>
                <w:color w:val="172B4D"/>
                <w:sz w:val="17"/>
              </w:rPr>
              <w:t>FR-006</w:t>
            </w:r>
          </w:p>
        </w:tc>
        <w:tc>
          <w:tcPr>
            <w:tcW w:type="dxa" w:w="7080"/>
          </w:tcPr>
          <w:p>
            <w:pPr>
              <w:widowControl/>
              <w:spacing w:after="0"/>
            </w:pPr>
            <w:r>
              <w:rPr>
                <w:rFonts w:ascii="Calibri" w:hAnsi="Calibri"/>
                <w:b w:val="0"/>
                <w:i w:val="0"/>
                <w:color w:val="172B4D"/>
                <w:sz w:val="17"/>
              </w:rPr>
              <w:t>Deduplicate syndicated and reposted content while retaining source lineage.</w:t>
            </w:r>
          </w:p>
        </w:tc>
        <w:tc>
          <w:tcPr>
            <w:tcW w:type="dxa" w:w="1230"/>
          </w:tcPr>
          <w:p>
            <w:pPr>
              <w:widowControl/>
              <w:spacing w:after="0"/>
            </w:pPr>
            <w:r>
              <w:rPr>
                <w:rFonts w:ascii="Calibri" w:hAnsi="Calibri"/>
                <w:b w:val="0"/>
                <w:i w:val="0"/>
                <w:color w:val="172B4D"/>
                <w:sz w:val="17"/>
              </w:rPr>
              <w:t>Must</w:t>
            </w:r>
          </w:p>
        </w:tc>
      </w:tr>
      <w:tr>
        <w:tc>
          <w:tcPr>
            <w:tcW w:type="dxa" w:w="1050"/>
          </w:tcPr>
          <w:p>
            <w:pPr>
              <w:widowControl/>
              <w:spacing w:after="0"/>
            </w:pPr>
            <w:r>
              <w:rPr>
                <w:rFonts w:ascii="Calibri" w:hAnsi="Calibri"/>
                <w:b w:val="0"/>
                <w:i w:val="0"/>
                <w:color w:val="172B4D"/>
                <w:sz w:val="17"/>
              </w:rPr>
              <w:t>FR-007</w:t>
            </w:r>
          </w:p>
        </w:tc>
        <w:tc>
          <w:tcPr>
            <w:tcW w:type="dxa" w:w="7080"/>
          </w:tcPr>
          <w:p>
            <w:pPr>
              <w:widowControl/>
              <w:spacing w:after="0"/>
            </w:pPr>
            <w:r>
              <w:rPr>
                <w:rFonts w:ascii="Calibri" w:hAnsi="Calibri"/>
                <w:b w:val="0"/>
                <w:i w:val="0"/>
                <w:color w:val="172B4D"/>
                <w:sz w:val="17"/>
              </w:rPr>
              <w:t>Sentiment/topic/entity classification with manual override and audit.</w:t>
            </w:r>
          </w:p>
        </w:tc>
        <w:tc>
          <w:tcPr>
            <w:tcW w:type="dxa" w:w="1230"/>
          </w:tcPr>
          <w:p>
            <w:pPr>
              <w:widowControl/>
              <w:spacing w:after="0"/>
            </w:pPr>
            <w:r>
              <w:rPr>
                <w:rFonts w:ascii="Calibri" w:hAnsi="Calibri"/>
                <w:b w:val="0"/>
                <w:i w:val="0"/>
                <w:color w:val="172B4D"/>
                <w:sz w:val="17"/>
              </w:rPr>
              <w:t>Must</w:t>
            </w:r>
          </w:p>
        </w:tc>
      </w:tr>
      <w:tr>
        <w:tc>
          <w:tcPr>
            <w:tcW w:type="dxa" w:w="1050"/>
          </w:tcPr>
          <w:p>
            <w:pPr>
              <w:widowControl/>
              <w:spacing w:after="0"/>
            </w:pPr>
            <w:r>
              <w:rPr>
                <w:rFonts w:ascii="Calibri" w:hAnsi="Calibri"/>
                <w:b w:val="0"/>
                <w:i w:val="0"/>
                <w:color w:val="172B4D"/>
                <w:sz w:val="17"/>
              </w:rPr>
              <w:t>FR-008</w:t>
            </w:r>
          </w:p>
        </w:tc>
        <w:tc>
          <w:tcPr>
            <w:tcW w:type="dxa" w:w="7080"/>
          </w:tcPr>
          <w:p>
            <w:pPr>
              <w:widowControl/>
              <w:spacing w:after="0"/>
            </w:pPr>
            <w:r>
              <w:rPr>
                <w:rFonts w:ascii="Calibri" w:hAnsi="Calibri"/>
                <w:b w:val="0"/>
                <w:i w:val="0"/>
                <w:color w:val="172B4D"/>
                <w:sz w:val="17"/>
              </w:rPr>
              <w:t>Configurable alerts for terms, thresholds, spikes and sentiment movement.</w:t>
            </w:r>
          </w:p>
        </w:tc>
        <w:tc>
          <w:tcPr>
            <w:tcW w:type="dxa" w:w="1230"/>
          </w:tcPr>
          <w:p>
            <w:pPr>
              <w:widowControl/>
              <w:spacing w:after="0"/>
            </w:pPr>
            <w:r>
              <w:rPr>
                <w:rFonts w:ascii="Calibri" w:hAnsi="Calibri"/>
                <w:b w:val="0"/>
                <w:i w:val="0"/>
                <w:color w:val="172B4D"/>
                <w:sz w:val="17"/>
              </w:rPr>
              <w:t>Must</w:t>
            </w:r>
          </w:p>
        </w:tc>
      </w:tr>
      <w:tr>
        <w:tc>
          <w:tcPr>
            <w:tcW w:type="dxa" w:w="1050"/>
          </w:tcPr>
          <w:p>
            <w:pPr>
              <w:widowControl/>
              <w:spacing w:after="0"/>
            </w:pPr>
            <w:r>
              <w:rPr>
                <w:rFonts w:ascii="Calibri" w:hAnsi="Calibri"/>
                <w:b w:val="0"/>
                <w:i w:val="0"/>
                <w:color w:val="172B4D"/>
                <w:sz w:val="17"/>
              </w:rPr>
              <w:t>FR-009</w:t>
            </w:r>
          </w:p>
        </w:tc>
        <w:tc>
          <w:tcPr>
            <w:tcW w:type="dxa" w:w="7080"/>
          </w:tcPr>
          <w:p>
            <w:pPr>
              <w:widowControl/>
              <w:spacing w:after="0"/>
            </w:pPr>
            <w:r>
              <w:rPr>
                <w:rFonts w:ascii="Calibri" w:hAnsi="Calibri"/>
                <w:b w:val="0"/>
                <w:i w:val="0"/>
                <w:color w:val="172B4D"/>
                <w:sz w:val="17"/>
              </w:rPr>
              <w:t>Unified inbox for supported comments, messages, reviews and selected mentions.</w:t>
            </w:r>
          </w:p>
        </w:tc>
        <w:tc>
          <w:tcPr>
            <w:tcW w:type="dxa" w:w="1230"/>
          </w:tcPr>
          <w:p>
            <w:pPr>
              <w:widowControl/>
              <w:spacing w:after="0"/>
            </w:pPr>
            <w:r>
              <w:rPr>
                <w:rFonts w:ascii="Calibri" w:hAnsi="Calibri"/>
                <w:b w:val="0"/>
                <w:i w:val="0"/>
                <w:color w:val="172B4D"/>
                <w:sz w:val="17"/>
              </w:rPr>
              <w:t>Must</w:t>
            </w:r>
          </w:p>
        </w:tc>
      </w:tr>
      <w:tr>
        <w:tc>
          <w:tcPr>
            <w:tcW w:type="dxa" w:w="1050"/>
          </w:tcPr>
          <w:p>
            <w:pPr>
              <w:widowControl/>
              <w:spacing w:after="0"/>
            </w:pPr>
            <w:r>
              <w:rPr>
                <w:rFonts w:ascii="Calibri" w:hAnsi="Calibri"/>
                <w:b w:val="0"/>
                <w:i w:val="0"/>
                <w:color w:val="172B4D"/>
                <w:sz w:val="17"/>
              </w:rPr>
              <w:t>FR-010</w:t>
            </w:r>
          </w:p>
        </w:tc>
        <w:tc>
          <w:tcPr>
            <w:tcW w:type="dxa" w:w="7080"/>
          </w:tcPr>
          <w:p>
            <w:pPr>
              <w:widowControl/>
              <w:spacing w:after="0"/>
            </w:pPr>
            <w:r>
              <w:rPr>
                <w:rFonts w:ascii="Calibri" w:hAnsi="Calibri"/>
                <w:b w:val="0"/>
                <w:i w:val="0"/>
                <w:color w:val="172B4D"/>
                <w:sz w:val="17"/>
              </w:rPr>
              <w:t>Assign, prioritise, label, note, approve, respond, resolve and reopen cases.</w:t>
            </w:r>
          </w:p>
        </w:tc>
        <w:tc>
          <w:tcPr>
            <w:tcW w:type="dxa" w:w="1230"/>
          </w:tcPr>
          <w:p>
            <w:pPr>
              <w:widowControl/>
              <w:spacing w:after="0"/>
            </w:pPr>
            <w:r>
              <w:rPr>
                <w:rFonts w:ascii="Calibri" w:hAnsi="Calibri"/>
                <w:b w:val="0"/>
                <w:i w:val="0"/>
                <w:color w:val="172B4D"/>
                <w:sz w:val="17"/>
              </w:rPr>
              <w:t>Must</w:t>
            </w:r>
          </w:p>
        </w:tc>
      </w:tr>
      <w:tr>
        <w:tc>
          <w:tcPr>
            <w:tcW w:type="dxa" w:w="1050"/>
          </w:tcPr>
          <w:p>
            <w:pPr>
              <w:widowControl/>
              <w:spacing w:after="0"/>
            </w:pPr>
            <w:r>
              <w:rPr>
                <w:rFonts w:ascii="Calibri" w:hAnsi="Calibri"/>
                <w:b w:val="0"/>
                <w:i w:val="0"/>
                <w:color w:val="172B4D"/>
                <w:sz w:val="17"/>
              </w:rPr>
              <w:t>FR-011</w:t>
            </w:r>
          </w:p>
        </w:tc>
        <w:tc>
          <w:tcPr>
            <w:tcW w:type="dxa" w:w="7080"/>
          </w:tcPr>
          <w:p>
            <w:pPr>
              <w:widowControl/>
              <w:spacing w:after="0"/>
            </w:pPr>
            <w:r>
              <w:rPr>
                <w:rFonts w:ascii="Calibri" w:hAnsi="Calibri"/>
                <w:b w:val="0"/>
                <w:i w:val="0"/>
                <w:color w:val="172B4D"/>
                <w:sz w:val="17"/>
              </w:rPr>
              <w:t>SLA timers and rule-based routing.</w:t>
            </w:r>
          </w:p>
        </w:tc>
        <w:tc>
          <w:tcPr>
            <w:tcW w:type="dxa" w:w="1230"/>
          </w:tcPr>
          <w:p>
            <w:pPr>
              <w:widowControl/>
              <w:spacing w:after="0"/>
            </w:pPr>
            <w:r>
              <w:rPr>
                <w:rFonts w:ascii="Calibri" w:hAnsi="Calibri"/>
                <w:b w:val="0"/>
                <w:i w:val="0"/>
                <w:color w:val="172B4D"/>
                <w:sz w:val="17"/>
              </w:rPr>
              <w:t>Must</w:t>
            </w:r>
          </w:p>
        </w:tc>
      </w:tr>
      <w:tr>
        <w:tc>
          <w:tcPr>
            <w:tcW w:type="dxa" w:w="1050"/>
          </w:tcPr>
          <w:p>
            <w:pPr>
              <w:widowControl/>
              <w:spacing w:after="0"/>
            </w:pPr>
            <w:r>
              <w:rPr>
                <w:rFonts w:ascii="Calibri" w:hAnsi="Calibri"/>
                <w:b w:val="0"/>
                <w:i w:val="0"/>
                <w:color w:val="172B4D"/>
                <w:sz w:val="17"/>
              </w:rPr>
              <w:t>FR-012</w:t>
            </w:r>
          </w:p>
        </w:tc>
        <w:tc>
          <w:tcPr>
            <w:tcW w:type="dxa" w:w="7080"/>
          </w:tcPr>
          <w:p>
            <w:pPr>
              <w:widowControl/>
              <w:spacing w:after="0"/>
            </w:pPr>
            <w:r>
              <w:rPr>
                <w:rFonts w:ascii="Calibri" w:hAnsi="Calibri"/>
                <w:b w:val="0"/>
                <w:i w:val="0"/>
                <w:color w:val="172B4D"/>
                <w:sz w:val="17"/>
              </w:rPr>
              <w:t>Cross-channel content calendar, drafts and network-specific variants.</w:t>
            </w:r>
          </w:p>
        </w:tc>
        <w:tc>
          <w:tcPr>
            <w:tcW w:type="dxa" w:w="1230"/>
          </w:tcPr>
          <w:p>
            <w:pPr>
              <w:widowControl/>
              <w:spacing w:after="0"/>
            </w:pPr>
            <w:r>
              <w:rPr>
                <w:rFonts w:ascii="Calibri" w:hAnsi="Calibri"/>
                <w:b w:val="0"/>
                <w:i w:val="0"/>
                <w:color w:val="172B4D"/>
                <w:sz w:val="17"/>
              </w:rPr>
              <w:t>Must</w:t>
            </w:r>
          </w:p>
        </w:tc>
      </w:tr>
      <w:tr>
        <w:tc>
          <w:tcPr>
            <w:tcW w:type="dxa" w:w="1050"/>
          </w:tcPr>
          <w:p>
            <w:pPr>
              <w:widowControl/>
              <w:spacing w:after="0"/>
            </w:pPr>
            <w:r>
              <w:rPr>
                <w:rFonts w:ascii="Calibri" w:hAnsi="Calibri"/>
                <w:b w:val="0"/>
                <w:i w:val="0"/>
                <w:color w:val="172B4D"/>
                <w:sz w:val="17"/>
              </w:rPr>
              <w:t>FR-013</w:t>
            </w:r>
          </w:p>
        </w:tc>
        <w:tc>
          <w:tcPr>
            <w:tcW w:type="dxa" w:w="7080"/>
          </w:tcPr>
          <w:p>
            <w:pPr>
              <w:widowControl/>
              <w:spacing w:after="0"/>
            </w:pPr>
            <w:r>
              <w:rPr>
                <w:rFonts w:ascii="Calibri" w:hAnsi="Calibri"/>
                <w:b w:val="0"/>
                <w:i w:val="0"/>
                <w:color w:val="172B4D"/>
                <w:sz w:val="17"/>
              </w:rPr>
              <w:t>At least one configurable approval workflow before publish.</w:t>
            </w:r>
          </w:p>
        </w:tc>
        <w:tc>
          <w:tcPr>
            <w:tcW w:type="dxa" w:w="1230"/>
          </w:tcPr>
          <w:p>
            <w:pPr>
              <w:widowControl/>
              <w:spacing w:after="0"/>
            </w:pPr>
            <w:r>
              <w:rPr>
                <w:rFonts w:ascii="Calibri" w:hAnsi="Calibri"/>
                <w:b w:val="0"/>
                <w:i w:val="0"/>
                <w:color w:val="172B4D"/>
                <w:sz w:val="17"/>
              </w:rPr>
              <w:t>Must</w:t>
            </w:r>
          </w:p>
        </w:tc>
      </w:tr>
      <w:tr>
        <w:tc>
          <w:tcPr>
            <w:tcW w:type="dxa" w:w="1050"/>
          </w:tcPr>
          <w:p>
            <w:pPr>
              <w:widowControl/>
              <w:spacing w:after="0"/>
            </w:pPr>
            <w:r>
              <w:rPr>
                <w:rFonts w:ascii="Calibri" w:hAnsi="Calibri"/>
                <w:b w:val="0"/>
                <w:i w:val="0"/>
                <w:color w:val="172B4D"/>
                <w:sz w:val="17"/>
              </w:rPr>
              <w:t>FR-014</w:t>
            </w:r>
          </w:p>
        </w:tc>
        <w:tc>
          <w:tcPr>
            <w:tcW w:type="dxa" w:w="7080"/>
          </w:tcPr>
          <w:p>
            <w:pPr>
              <w:widowControl/>
              <w:spacing w:after="0"/>
            </w:pPr>
            <w:r>
              <w:rPr>
                <w:rFonts w:ascii="Calibri" w:hAnsi="Calibri"/>
                <w:b w:val="0"/>
                <w:i w:val="0"/>
                <w:color w:val="172B4D"/>
                <w:sz w:val="17"/>
              </w:rPr>
              <w:t>Schedule/publish to initial supported networks with clear failure states.</w:t>
            </w:r>
          </w:p>
        </w:tc>
        <w:tc>
          <w:tcPr>
            <w:tcW w:type="dxa" w:w="1230"/>
          </w:tcPr>
          <w:p>
            <w:pPr>
              <w:widowControl/>
              <w:spacing w:after="0"/>
            </w:pPr>
            <w:r>
              <w:rPr>
                <w:rFonts w:ascii="Calibri" w:hAnsi="Calibri"/>
                <w:b w:val="0"/>
                <w:i w:val="0"/>
                <w:color w:val="172B4D"/>
                <w:sz w:val="17"/>
              </w:rPr>
              <w:t>Must</w:t>
            </w:r>
          </w:p>
        </w:tc>
      </w:tr>
      <w:tr>
        <w:tc>
          <w:tcPr>
            <w:tcW w:type="dxa" w:w="1050"/>
          </w:tcPr>
          <w:p>
            <w:pPr>
              <w:widowControl/>
              <w:spacing w:after="0"/>
            </w:pPr>
            <w:r>
              <w:rPr>
                <w:rFonts w:ascii="Calibri" w:hAnsi="Calibri"/>
                <w:b w:val="0"/>
                <w:i w:val="0"/>
                <w:color w:val="172B4D"/>
                <w:sz w:val="17"/>
              </w:rPr>
              <w:t>FR-015</w:t>
            </w:r>
          </w:p>
        </w:tc>
        <w:tc>
          <w:tcPr>
            <w:tcW w:type="dxa" w:w="7080"/>
          </w:tcPr>
          <w:p>
            <w:pPr>
              <w:widowControl/>
              <w:spacing w:after="0"/>
            </w:pPr>
            <w:r>
              <w:rPr>
                <w:rFonts w:ascii="Calibri" w:hAnsi="Calibri"/>
                <w:b w:val="0"/>
                <w:i w:val="0"/>
                <w:color w:val="172B4D"/>
                <w:sz w:val="17"/>
              </w:rPr>
              <w:t>Automatically archive authored content, response and approval history.</w:t>
            </w:r>
          </w:p>
        </w:tc>
        <w:tc>
          <w:tcPr>
            <w:tcW w:type="dxa" w:w="1230"/>
          </w:tcPr>
          <w:p>
            <w:pPr>
              <w:widowControl/>
              <w:spacing w:after="0"/>
            </w:pPr>
            <w:r>
              <w:rPr>
                <w:rFonts w:ascii="Calibri" w:hAnsi="Calibri"/>
                <w:b w:val="0"/>
                <w:i w:val="0"/>
                <w:color w:val="172B4D"/>
                <w:sz w:val="17"/>
              </w:rPr>
              <w:t>Must</w:t>
            </w:r>
          </w:p>
        </w:tc>
      </w:tr>
      <w:tr>
        <w:tc>
          <w:tcPr>
            <w:tcW w:type="dxa" w:w="1050"/>
          </w:tcPr>
          <w:p>
            <w:pPr>
              <w:widowControl/>
              <w:spacing w:after="0"/>
            </w:pPr>
            <w:r>
              <w:rPr>
                <w:rFonts w:ascii="Calibri" w:hAnsi="Calibri"/>
                <w:b w:val="0"/>
                <w:i w:val="0"/>
                <w:color w:val="172B4D"/>
                <w:sz w:val="17"/>
              </w:rPr>
              <w:t>FR-016</w:t>
            </w:r>
          </w:p>
        </w:tc>
        <w:tc>
          <w:tcPr>
            <w:tcW w:type="dxa" w:w="7080"/>
          </w:tcPr>
          <w:p>
            <w:pPr>
              <w:widowControl/>
              <w:spacing w:after="0"/>
            </w:pPr>
            <w:r>
              <w:rPr>
                <w:rFonts w:ascii="Calibri" w:hAnsi="Calibri"/>
                <w:b w:val="0"/>
                <w:i w:val="0"/>
                <w:color w:val="172B4D"/>
                <w:sz w:val="17"/>
              </w:rPr>
              <w:t>Define KPI formula, source, target, owner, dimensions and caveats.</w:t>
            </w:r>
          </w:p>
        </w:tc>
        <w:tc>
          <w:tcPr>
            <w:tcW w:type="dxa" w:w="1230"/>
          </w:tcPr>
          <w:p>
            <w:pPr>
              <w:widowControl/>
              <w:spacing w:after="0"/>
            </w:pPr>
            <w:r>
              <w:rPr>
                <w:rFonts w:ascii="Calibri" w:hAnsi="Calibri"/>
                <w:b w:val="0"/>
                <w:i w:val="0"/>
                <w:color w:val="172B4D"/>
                <w:sz w:val="17"/>
              </w:rPr>
              <w:t>Must</w:t>
            </w:r>
          </w:p>
        </w:tc>
      </w:tr>
      <w:tr>
        <w:tc>
          <w:tcPr>
            <w:tcW w:type="dxa" w:w="1050"/>
          </w:tcPr>
          <w:p>
            <w:pPr>
              <w:widowControl/>
              <w:spacing w:after="0"/>
            </w:pPr>
            <w:r>
              <w:rPr>
                <w:rFonts w:ascii="Calibri" w:hAnsi="Calibri"/>
                <w:b w:val="0"/>
                <w:i w:val="0"/>
                <w:color w:val="172B4D"/>
                <w:sz w:val="17"/>
              </w:rPr>
              <w:t>FR-017</w:t>
            </w:r>
          </w:p>
        </w:tc>
        <w:tc>
          <w:tcPr>
            <w:tcW w:type="dxa" w:w="7080"/>
          </w:tcPr>
          <w:p>
            <w:pPr>
              <w:widowControl/>
              <w:spacing w:after="0"/>
            </w:pPr>
            <w:r>
              <w:rPr>
                <w:rFonts w:ascii="Calibri" w:hAnsi="Calibri"/>
                <w:b w:val="0"/>
                <w:i w:val="0"/>
                <w:color w:val="172B4D"/>
                <w:sz w:val="17"/>
              </w:rPr>
              <w:t>Role-based home dashboard and executive brief.</w:t>
            </w:r>
          </w:p>
        </w:tc>
        <w:tc>
          <w:tcPr>
            <w:tcW w:type="dxa" w:w="1230"/>
          </w:tcPr>
          <w:p>
            <w:pPr>
              <w:widowControl/>
              <w:spacing w:after="0"/>
            </w:pPr>
            <w:r>
              <w:rPr>
                <w:rFonts w:ascii="Calibri" w:hAnsi="Calibri"/>
                <w:b w:val="0"/>
                <w:i w:val="0"/>
                <w:color w:val="172B4D"/>
                <w:sz w:val="17"/>
              </w:rPr>
              <w:t>Must</w:t>
            </w:r>
          </w:p>
        </w:tc>
      </w:tr>
      <w:tr>
        <w:tc>
          <w:tcPr>
            <w:tcW w:type="dxa" w:w="1050"/>
          </w:tcPr>
          <w:p>
            <w:pPr>
              <w:widowControl/>
              <w:spacing w:after="0"/>
            </w:pPr>
            <w:r>
              <w:rPr>
                <w:rFonts w:ascii="Calibri" w:hAnsi="Calibri"/>
                <w:b w:val="0"/>
                <w:i w:val="0"/>
                <w:color w:val="172B4D"/>
                <w:sz w:val="17"/>
              </w:rPr>
              <w:t>FR-018</w:t>
            </w:r>
          </w:p>
        </w:tc>
        <w:tc>
          <w:tcPr>
            <w:tcW w:type="dxa" w:w="7080"/>
          </w:tcPr>
          <w:p>
            <w:pPr>
              <w:widowControl/>
              <w:spacing w:after="0"/>
            </w:pPr>
            <w:r>
              <w:rPr>
                <w:rFonts w:ascii="Calibri" w:hAnsi="Calibri"/>
                <w:b w:val="0"/>
                <w:i w:val="0"/>
                <w:color w:val="172B4D"/>
                <w:sz w:val="17"/>
              </w:rPr>
              <w:t>Generate scheduled PDF and CSV/XLSX reports.</w:t>
            </w:r>
          </w:p>
        </w:tc>
        <w:tc>
          <w:tcPr>
            <w:tcW w:type="dxa" w:w="1230"/>
          </w:tcPr>
          <w:p>
            <w:pPr>
              <w:widowControl/>
              <w:spacing w:after="0"/>
            </w:pPr>
            <w:r>
              <w:rPr>
                <w:rFonts w:ascii="Calibri" w:hAnsi="Calibri"/>
                <w:b w:val="0"/>
                <w:i w:val="0"/>
                <w:color w:val="172B4D"/>
                <w:sz w:val="17"/>
              </w:rPr>
              <w:t>Must</w:t>
            </w:r>
          </w:p>
        </w:tc>
      </w:tr>
      <w:tr>
        <w:tc>
          <w:tcPr>
            <w:tcW w:type="dxa" w:w="1050"/>
          </w:tcPr>
          <w:p>
            <w:pPr>
              <w:widowControl/>
              <w:spacing w:after="0"/>
            </w:pPr>
            <w:r>
              <w:rPr>
                <w:rFonts w:ascii="Calibri" w:hAnsi="Calibri"/>
                <w:b w:val="0"/>
                <w:i w:val="0"/>
                <w:color w:val="172B4D"/>
                <w:sz w:val="17"/>
              </w:rPr>
              <w:t>FR-019</w:t>
            </w:r>
          </w:p>
        </w:tc>
        <w:tc>
          <w:tcPr>
            <w:tcW w:type="dxa" w:w="7080"/>
          </w:tcPr>
          <w:p>
            <w:pPr>
              <w:widowControl/>
              <w:spacing w:after="0"/>
            </w:pPr>
            <w:r>
              <w:rPr>
                <w:rFonts w:ascii="Calibri" w:hAnsi="Calibri"/>
                <w:b w:val="0"/>
                <w:i w:val="0"/>
                <w:color w:val="172B4D"/>
                <w:sz w:val="17"/>
              </w:rPr>
              <w:t>Source-linked AI summaries and response/report drafts requiring review.</w:t>
            </w:r>
          </w:p>
        </w:tc>
        <w:tc>
          <w:tcPr>
            <w:tcW w:type="dxa" w:w="1230"/>
          </w:tcPr>
          <w:p>
            <w:pPr>
              <w:widowControl/>
              <w:spacing w:after="0"/>
            </w:pPr>
            <w:r>
              <w:rPr>
                <w:rFonts w:ascii="Calibri" w:hAnsi="Calibri"/>
                <w:b w:val="0"/>
                <w:i w:val="0"/>
                <w:color w:val="172B4D"/>
                <w:sz w:val="17"/>
              </w:rPr>
              <w:t>Must</w:t>
            </w:r>
          </w:p>
        </w:tc>
      </w:tr>
      <w:tr>
        <w:tc>
          <w:tcPr>
            <w:tcW w:type="dxa" w:w="1050"/>
          </w:tcPr>
          <w:p>
            <w:pPr>
              <w:widowControl/>
              <w:spacing w:after="0"/>
            </w:pPr>
            <w:r>
              <w:rPr>
                <w:rFonts w:ascii="Calibri" w:hAnsi="Calibri"/>
                <w:b w:val="0"/>
                <w:i w:val="0"/>
                <w:color w:val="172B4D"/>
                <w:sz w:val="17"/>
              </w:rPr>
              <w:t>FR-020</w:t>
            </w:r>
          </w:p>
        </w:tc>
        <w:tc>
          <w:tcPr>
            <w:tcW w:type="dxa" w:w="7080"/>
          </w:tcPr>
          <w:p>
            <w:pPr>
              <w:widowControl/>
              <w:spacing w:after="0"/>
            </w:pPr>
            <w:r>
              <w:rPr>
                <w:rFonts w:ascii="Calibri" w:hAnsi="Calibri"/>
                <w:b w:val="0"/>
                <w:i w:val="0"/>
                <w:color w:val="172B4D"/>
                <w:sz w:val="17"/>
              </w:rPr>
              <w:t>Immutable audit log for security, content and workflow events.</w:t>
            </w:r>
          </w:p>
        </w:tc>
        <w:tc>
          <w:tcPr>
            <w:tcW w:type="dxa" w:w="1230"/>
          </w:tcPr>
          <w:p>
            <w:pPr>
              <w:widowControl/>
              <w:spacing w:after="0"/>
            </w:pPr>
            <w:r>
              <w:rPr>
                <w:rFonts w:ascii="Calibri" w:hAnsi="Calibri"/>
                <w:b w:val="0"/>
                <w:i w:val="0"/>
                <w:color w:val="172B4D"/>
                <w:sz w:val="17"/>
              </w:rPr>
              <w:t>Must</w:t>
            </w:r>
          </w:p>
        </w:tc>
      </w:tr>
      <w:tr>
        <w:tc>
          <w:tcPr>
            <w:tcW w:type="dxa" w:w="1050"/>
          </w:tcPr>
          <w:p>
            <w:pPr>
              <w:widowControl/>
              <w:spacing w:after="0"/>
            </w:pPr>
            <w:r>
              <w:rPr>
                <w:rFonts w:ascii="Calibri" w:hAnsi="Calibri"/>
                <w:b w:val="0"/>
                <w:i w:val="0"/>
                <w:color w:val="172B4D"/>
                <w:sz w:val="17"/>
              </w:rPr>
              <w:t>FR-021</w:t>
            </w:r>
          </w:p>
        </w:tc>
        <w:tc>
          <w:tcPr>
            <w:tcW w:type="dxa" w:w="7080"/>
          </w:tcPr>
          <w:p>
            <w:pPr>
              <w:widowControl/>
              <w:spacing w:after="0"/>
            </w:pPr>
            <w:r>
              <w:rPr>
                <w:rFonts w:ascii="Calibri" w:hAnsi="Calibri"/>
                <w:b w:val="0"/>
                <w:i w:val="0"/>
                <w:color w:val="172B4D"/>
                <w:sz w:val="17"/>
              </w:rPr>
              <w:t>Campaign workspace joining content, queries and KPIs.</w:t>
            </w:r>
          </w:p>
        </w:tc>
        <w:tc>
          <w:tcPr>
            <w:tcW w:type="dxa" w:w="1230"/>
          </w:tcPr>
          <w:p>
            <w:pPr>
              <w:widowControl/>
              <w:spacing w:after="0"/>
            </w:pPr>
            <w:r>
              <w:rPr>
                <w:rFonts w:ascii="Calibri" w:hAnsi="Calibri"/>
                <w:b w:val="0"/>
                <w:i w:val="0"/>
                <w:color w:val="172B4D"/>
                <w:sz w:val="17"/>
              </w:rPr>
              <w:t>Should</w:t>
            </w:r>
          </w:p>
        </w:tc>
      </w:tr>
      <w:tr>
        <w:tc>
          <w:tcPr>
            <w:tcW w:type="dxa" w:w="1050"/>
          </w:tcPr>
          <w:p>
            <w:pPr>
              <w:widowControl/>
              <w:spacing w:after="0"/>
            </w:pPr>
            <w:r>
              <w:rPr>
                <w:rFonts w:ascii="Calibri" w:hAnsi="Calibri"/>
                <w:b w:val="0"/>
                <w:i w:val="0"/>
                <w:color w:val="172B4D"/>
                <w:sz w:val="17"/>
              </w:rPr>
              <w:t>FR-022</w:t>
            </w:r>
          </w:p>
        </w:tc>
        <w:tc>
          <w:tcPr>
            <w:tcW w:type="dxa" w:w="7080"/>
          </w:tcPr>
          <w:p>
            <w:pPr>
              <w:widowControl/>
              <w:spacing w:after="0"/>
            </w:pPr>
            <w:r>
              <w:rPr>
                <w:rFonts w:ascii="Calibri" w:hAnsi="Calibri"/>
                <w:b w:val="0"/>
                <w:i w:val="0"/>
                <w:color w:val="172B4D"/>
                <w:sz w:val="17"/>
              </w:rPr>
              <w:t>Competitive share-of-voice and content benchmarking.</w:t>
            </w:r>
          </w:p>
        </w:tc>
        <w:tc>
          <w:tcPr>
            <w:tcW w:type="dxa" w:w="1230"/>
          </w:tcPr>
          <w:p>
            <w:pPr>
              <w:widowControl/>
              <w:spacing w:after="0"/>
            </w:pPr>
            <w:r>
              <w:rPr>
                <w:rFonts w:ascii="Calibri" w:hAnsi="Calibri"/>
                <w:b w:val="0"/>
                <w:i w:val="0"/>
                <w:color w:val="172B4D"/>
                <w:sz w:val="17"/>
              </w:rPr>
              <w:t>Should</w:t>
            </w:r>
          </w:p>
        </w:tc>
      </w:tr>
      <w:tr>
        <w:tc>
          <w:tcPr>
            <w:tcW w:type="dxa" w:w="1050"/>
          </w:tcPr>
          <w:p>
            <w:pPr>
              <w:widowControl/>
              <w:spacing w:after="0"/>
            </w:pPr>
            <w:r>
              <w:rPr>
                <w:rFonts w:ascii="Calibri" w:hAnsi="Calibri"/>
                <w:b w:val="0"/>
                <w:i w:val="0"/>
                <w:color w:val="172B4D"/>
                <w:sz w:val="17"/>
              </w:rPr>
              <w:t>FR-023</w:t>
            </w:r>
          </w:p>
        </w:tc>
        <w:tc>
          <w:tcPr>
            <w:tcW w:type="dxa" w:w="7080"/>
          </w:tcPr>
          <w:p>
            <w:pPr>
              <w:widowControl/>
              <w:spacing w:after="0"/>
            </w:pPr>
            <w:r>
              <w:rPr>
                <w:rFonts w:ascii="Calibri" w:hAnsi="Calibri"/>
                <w:b w:val="0"/>
                <w:i w:val="0"/>
                <w:color w:val="172B4D"/>
                <w:sz w:val="17"/>
              </w:rPr>
              <w:t>Crisis Room with incident timeline and playbooks.</w:t>
            </w:r>
          </w:p>
        </w:tc>
        <w:tc>
          <w:tcPr>
            <w:tcW w:type="dxa" w:w="1230"/>
          </w:tcPr>
          <w:p>
            <w:pPr>
              <w:widowControl/>
              <w:spacing w:after="0"/>
            </w:pPr>
            <w:r>
              <w:rPr>
                <w:rFonts w:ascii="Calibri" w:hAnsi="Calibri"/>
                <w:b w:val="0"/>
                <w:i w:val="0"/>
                <w:color w:val="172B4D"/>
                <w:sz w:val="17"/>
              </w:rPr>
              <w:t>Should</w:t>
            </w:r>
          </w:p>
        </w:tc>
      </w:tr>
      <w:tr>
        <w:tc>
          <w:tcPr>
            <w:tcW w:type="dxa" w:w="1050"/>
          </w:tcPr>
          <w:p>
            <w:pPr>
              <w:widowControl/>
              <w:spacing w:after="0"/>
            </w:pPr>
            <w:r>
              <w:rPr>
                <w:rFonts w:ascii="Calibri" w:hAnsi="Calibri"/>
                <w:b w:val="0"/>
                <w:i w:val="0"/>
                <w:color w:val="172B4D"/>
                <w:sz w:val="17"/>
              </w:rPr>
              <w:t>FR-024</w:t>
            </w:r>
          </w:p>
        </w:tc>
        <w:tc>
          <w:tcPr>
            <w:tcW w:type="dxa" w:w="7080"/>
          </w:tcPr>
          <w:p>
            <w:pPr>
              <w:widowControl/>
              <w:spacing w:after="0"/>
            </w:pPr>
            <w:r>
              <w:rPr>
                <w:rFonts w:ascii="Calibri" w:hAnsi="Calibri"/>
                <w:b w:val="0"/>
                <w:i w:val="0"/>
                <w:color w:val="172B4D"/>
                <w:sz w:val="17"/>
              </w:rPr>
              <w:t>Broadcast and podcast monitoring through licensed connectors.</w:t>
            </w:r>
          </w:p>
        </w:tc>
        <w:tc>
          <w:tcPr>
            <w:tcW w:type="dxa" w:w="1230"/>
          </w:tcPr>
          <w:p>
            <w:pPr>
              <w:widowControl/>
              <w:spacing w:after="0"/>
            </w:pPr>
            <w:r>
              <w:rPr>
                <w:rFonts w:ascii="Calibri" w:hAnsi="Calibri"/>
                <w:b w:val="0"/>
                <w:i w:val="0"/>
                <w:color w:val="172B4D"/>
                <w:sz w:val="17"/>
              </w:rPr>
              <w:t>Should</w:t>
            </w:r>
          </w:p>
        </w:tc>
      </w:tr>
      <w:tr>
        <w:tc>
          <w:tcPr>
            <w:tcW w:type="dxa" w:w="1050"/>
          </w:tcPr>
          <w:p>
            <w:pPr>
              <w:widowControl/>
              <w:spacing w:after="0"/>
            </w:pPr>
            <w:r>
              <w:rPr>
                <w:rFonts w:ascii="Calibri" w:hAnsi="Calibri"/>
                <w:b w:val="0"/>
                <w:i w:val="0"/>
                <w:color w:val="172B4D"/>
                <w:sz w:val="17"/>
              </w:rPr>
              <w:t>FR-025</w:t>
            </w:r>
          </w:p>
        </w:tc>
        <w:tc>
          <w:tcPr>
            <w:tcW w:type="dxa" w:w="7080"/>
          </w:tcPr>
          <w:p>
            <w:pPr>
              <w:widowControl/>
              <w:spacing w:after="0"/>
            </w:pPr>
            <w:r>
              <w:rPr>
                <w:rFonts w:ascii="Calibri" w:hAnsi="Calibri"/>
                <w:b w:val="0"/>
                <w:i w:val="0"/>
                <w:color w:val="172B4D"/>
                <w:sz w:val="17"/>
              </w:rPr>
              <w:t>Media-contact profiles, lists and outreach tracking.</w:t>
            </w:r>
          </w:p>
        </w:tc>
        <w:tc>
          <w:tcPr>
            <w:tcW w:type="dxa" w:w="1230"/>
          </w:tcPr>
          <w:p>
            <w:pPr>
              <w:widowControl/>
              <w:spacing w:after="0"/>
            </w:pPr>
            <w:r>
              <w:rPr>
                <w:rFonts w:ascii="Calibri" w:hAnsi="Calibri"/>
                <w:b w:val="0"/>
                <w:i w:val="0"/>
                <w:color w:val="172B4D"/>
                <w:sz w:val="17"/>
              </w:rPr>
              <w:t>Should</w:t>
            </w:r>
          </w:p>
        </w:tc>
      </w:tr>
      <w:tr>
        <w:tc>
          <w:tcPr>
            <w:tcW w:type="dxa" w:w="1050"/>
          </w:tcPr>
          <w:p>
            <w:pPr>
              <w:widowControl/>
              <w:spacing w:after="0"/>
            </w:pPr>
            <w:r>
              <w:rPr>
                <w:rFonts w:ascii="Calibri" w:hAnsi="Calibri"/>
                <w:b w:val="0"/>
                <w:i w:val="0"/>
                <w:color w:val="172B4D"/>
                <w:sz w:val="17"/>
              </w:rPr>
              <w:t>FR-026</w:t>
            </w:r>
          </w:p>
        </w:tc>
        <w:tc>
          <w:tcPr>
            <w:tcW w:type="dxa" w:w="7080"/>
          </w:tcPr>
          <w:p>
            <w:pPr>
              <w:widowControl/>
              <w:spacing w:after="0"/>
            </w:pPr>
            <w:r>
              <w:rPr>
                <w:rFonts w:ascii="Calibri" w:hAnsi="Calibri"/>
                <w:b w:val="0"/>
                <w:i w:val="0"/>
                <w:color w:val="172B4D"/>
                <w:sz w:val="17"/>
              </w:rPr>
              <w:t>First-party survey/transcript/customer-feedback ingestion.</w:t>
            </w:r>
          </w:p>
        </w:tc>
        <w:tc>
          <w:tcPr>
            <w:tcW w:type="dxa" w:w="1230"/>
          </w:tcPr>
          <w:p>
            <w:pPr>
              <w:widowControl/>
              <w:spacing w:after="0"/>
            </w:pPr>
            <w:r>
              <w:rPr>
                <w:rFonts w:ascii="Calibri" w:hAnsi="Calibri"/>
                <w:b w:val="0"/>
                <w:i w:val="0"/>
                <w:color w:val="172B4D"/>
                <w:sz w:val="17"/>
              </w:rPr>
              <w:t>Should</w:t>
            </w:r>
          </w:p>
        </w:tc>
      </w:tr>
      <w:tr>
        <w:tc>
          <w:tcPr>
            <w:tcW w:type="dxa" w:w="1050"/>
          </w:tcPr>
          <w:p>
            <w:pPr>
              <w:widowControl/>
              <w:spacing w:after="0"/>
            </w:pPr>
            <w:r>
              <w:rPr>
                <w:rFonts w:ascii="Calibri" w:hAnsi="Calibri"/>
                <w:b w:val="0"/>
                <w:i w:val="0"/>
                <w:color w:val="172B4D"/>
                <w:sz w:val="17"/>
              </w:rPr>
              <w:t>FR-027</w:t>
            </w:r>
          </w:p>
        </w:tc>
        <w:tc>
          <w:tcPr>
            <w:tcW w:type="dxa" w:w="7080"/>
          </w:tcPr>
          <w:p>
            <w:pPr>
              <w:widowControl/>
              <w:spacing w:after="0"/>
            </w:pPr>
            <w:r>
              <w:rPr>
                <w:rFonts w:ascii="Calibri" w:hAnsi="Calibri"/>
                <w:b w:val="0"/>
                <w:i w:val="0"/>
                <w:color w:val="172B4D"/>
                <w:sz w:val="17"/>
              </w:rPr>
              <w:t>Collaboration integrations for alerts and task updates.</w:t>
            </w:r>
          </w:p>
        </w:tc>
        <w:tc>
          <w:tcPr>
            <w:tcW w:type="dxa" w:w="1230"/>
          </w:tcPr>
          <w:p>
            <w:pPr>
              <w:widowControl/>
              <w:spacing w:after="0"/>
            </w:pPr>
            <w:r>
              <w:rPr>
                <w:rFonts w:ascii="Calibri" w:hAnsi="Calibri"/>
                <w:b w:val="0"/>
                <w:i w:val="0"/>
                <w:color w:val="172B4D"/>
                <w:sz w:val="17"/>
              </w:rPr>
              <w:t>Should</w:t>
            </w:r>
          </w:p>
        </w:tc>
      </w:tr>
      <w:tr>
        <w:tc>
          <w:tcPr>
            <w:tcW w:type="dxa" w:w="1050"/>
          </w:tcPr>
          <w:p>
            <w:pPr>
              <w:widowControl/>
              <w:spacing w:after="0"/>
            </w:pPr>
            <w:r>
              <w:rPr>
                <w:rFonts w:ascii="Calibri" w:hAnsi="Calibri"/>
                <w:b w:val="0"/>
                <w:i w:val="0"/>
                <w:color w:val="172B4D"/>
                <w:sz w:val="17"/>
              </w:rPr>
              <w:t>FR-028</w:t>
            </w:r>
          </w:p>
        </w:tc>
        <w:tc>
          <w:tcPr>
            <w:tcW w:type="dxa" w:w="7080"/>
          </w:tcPr>
          <w:p>
            <w:pPr>
              <w:widowControl/>
              <w:spacing w:after="0"/>
            </w:pPr>
            <w:r>
              <w:rPr>
                <w:rFonts w:ascii="Calibri" w:hAnsi="Calibri"/>
                <w:b w:val="0"/>
                <w:i w:val="0"/>
                <w:color w:val="172B4D"/>
                <w:sz w:val="17"/>
              </w:rPr>
              <w:t>White-labelled client reports and portal views.</w:t>
            </w:r>
          </w:p>
        </w:tc>
        <w:tc>
          <w:tcPr>
            <w:tcW w:type="dxa" w:w="1230"/>
          </w:tcPr>
          <w:p>
            <w:pPr>
              <w:widowControl/>
              <w:spacing w:after="0"/>
            </w:pPr>
            <w:r>
              <w:rPr>
                <w:rFonts w:ascii="Calibri" w:hAnsi="Calibri"/>
                <w:b w:val="0"/>
                <w:i w:val="0"/>
                <w:color w:val="172B4D"/>
                <w:sz w:val="17"/>
              </w:rPr>
              <w:t>Should</w:t>
            </w:r>
          </w:p>
        </w:tc>
      </w:tr>
      <w:tr>
        <w:tc>
          <w:tcPr>
            <w:tcW w:type="dxa" w:w="1050"/>
          </w:tcPr>
          <w:p>
            <w:pPr>
              <w:widowControl/>
              <w:spacing w:after="0"/>
            </w:pPr>
            <w:r>
              <w:rPr>
                <w:rFonts w:ascii="Calibri" w:hAnsi="Calibri"/>
                <w:b w:val="0"/>
                <w:i w:val="0"/>
                <w:color w:val="172B4D"/>
                <w:sz w:val="17"/>
              </w:rPr>
              <w:t>FR-029</w:t>
            </w:r>
          </w:p>
        </w:tc>
        <w:tc>
          <w:tcPr>
            <w:tcW w:type="dxa" w:w="7080"/>
          </w:tcPr>
          <w:p>
            <w:pPr>
              <w:widowControl/>
              <w:spacing w:after="0"/>
            </w:pPr>
            <w:r>
              <w:rPr>
                <w:rFonts w:ascii="Calibri" w:hAnsi="Calibri"/>
                <w:b w:val="0"/>
                <w:i w:val="0"/>
                <w:color w:val="172B4D"/>
                <w:sz w:val="17"/>
              </w:rPr>
              <w:t>Influencer discovery and campaign management.</w:t>
            </w:r>
          </w:p>
        </w:tc>
        <w:tc>
          <w:tcPr>
            <w:tcW w:type="dxa" w:w="1230"/>
          </w:tcPr>
          <w:p>
            <w:pPr>
              <w:widowControl/>
              <w:spacing w:after="0"/>
            </w:pPr>
            <w:r>
              <w:rPr>
                <w:rFonts w:ascii="Calibri" w:hAnsi="Calibri"/>
                <w:b w:val="0"/>
                <w:i w:val="0"/>
                <w:color w:val="172B4D"/>
                <w:sz w:val="17"/>
              </w:rPr>
              <w:t>Could</w:t>
            </w:r>
          </w:p>
        </w:tc>
      </w:tr>
      <w:tr>
        <w:tc>
          <w:tcPr>
            <w:tcW w:type="dxa" w:w="1050"/>
          </w:tcPr>
          <w:p>
            <w:pPr>
              <w:widowControl/>
              <w:spacing w:after="0"/>
            </w:pPr>
            <w:r>
              <w:rPr>
                <w:rFonts w:ascii="Calibri" w:hAnsi="Calibri"/>
                <w:b w:val="0"/>
                <w:i w:val="0"/>
                <w:color w:val="172B4D"/>
                <w:sz w:val="17"/>
              </w:rPr>
              <w:t>FR-030</w:t>
            </w:r>
          </w:p>
        </w:tc>
        <w:tc>
          <w:tcPr>
            <w:tcW w:type="dxa" w:w="7080"/>
          </w:tcPr>
          <w:p>
            <w:pPr>
              <w:widowControl/>
              <w:spacing w:after="0"/>
            </w:pPr>
            <w:r>
              <w:rPr>
                <w:rFonts w:ascii="Calibri" w:hAnsi="Calibri"/>
                <w:b w:val="0"/>
                <w:i w:val="0"/>
                <w:color w:val="172B4D"/>
                <w:sz w:val="17"/>
              </w:rPr>
              <w:t>Paid media planning and ad performance.</w:t>
            </w:r>
          </w:p>
        </w:tc>
        <w:tc>
          <w:tcPr>
            <w:tcW w:type="dxa" w:w="1230"/>
          </w:tcPr>
          <w:p>
            <w:pPr>
              <w:widowControl/>
              <w:spacing w:after="0"/>
            </w:pPr>
            <w:r>
              <w:rPr>
                <w:rFonts w:ascii="Calibri" w:hAnsi="Calibri"/>
                <w:b w:val="0"/>
                <w:i w:val="0"/>
                <w:color w:val="172B4D"/>
                <w:sz w:val="17"/>
              </w:rPr>
              <w:t>Could</w:t>
            </w:r>
          </w:p>
        </w:tc>
      </w:tr>
      <w:tr>
        <w:tc>
          <w:tcPr>
            <w:tcW w:type="dxa" w:w="1050"/>
          </w:tcPr>
          <w:p>
            <w:pPr>
              <w:widowControl/>
              <w:spacing w:after="0"/>
            </w:pPr>
            <w:r>
              <w:rPr>
                <w:rFonts w:ascii="Calibri" w:hAnsi="Calibri"/>
                <w:b w:val="0"/>
                <w:i w:val="0"/>
                <w:color w:val="172B4D"/>
                <w:sz w:val="17"/>
              </w:rPr>
              <w:t>FR-031</w:t>
            </w:r>
          </w:p>
        </w:tc>
        <w:tc>
          <w:tcPr>
            <w:tcW w:type="dxa" w:w="7080"/>
          </w:tcPr>
          <w:p>
            <w:pPr>
              <w:widowControl/>
              <w:spacing w:after="0"/>
            </w:pPr>
            <w:r>
              <w:rPr>
                <w:rFonts w:ascii="Calibri" w:hAnsi="Calibri"/>
                <w:b w:val="0"/>
                <w:i w:val="0"/>
                <w:color w:val="172B4D"/>
                <w:sz w:val="17"/>
              </w:rPr>
              <w:t>AI/LLM visibility monitoring.</w:t>
            </w:r>
          </w:p>
        </w:tc>
        <w:tc>
          <w:tcPr>
            <w:tcW w:type="dxa" w:w="1230"/>
          </w:tcPr>
          <w:p>
            <w:pPr>
              <w:widowControl/>
              <w:spacing w:after="0"/>
            </w:pPr>
            <w:r>
              <w:rPr>
                <w:rFonts w:ascii="Calibri" w:hAnsi="Calibri"/>
                <w:b w:val="0"/>
                <w:i w:val="0"/>
                <w:color w:val="172B4D"/>
                <w:sz w:val="17"/>
              </w:rPr>
              <w:t>Could</w:t>
            </w:r>
          </w:p>
        </w:tc>
      </w:tr>
      <w:tr>
        <w:tc>
          <w:tcPr>
            <w:tcW w:type="dxa" w:w="1050"/>
          </w:tcPr>
          <w:p>
            <w:pPr>
              <w:widowControl/>
              <w:spacing w:after="0"/>
            </w:pPr>
            <w:r>
              <w:rPr>
                <w:rFonts w:ascii="Calibri" w:hAnsi="Calibri"/>
                <w:b w:val="0"/>
                <w:i w:val="0"/>
                <w:color w:val="172B4D"/>
                <w:sz w:val="17"/>
              </w:rPr>
              <w:t>FR-032</w:t>
            </w:r>
          </w:p>
        </w:tc>
        <w:tc>
          <w:tcPr>
            <w:tcW w:type="dxa" w:w="7080"/>
          </w:tcPr>
          <w:p>
            <w:pPr>
              <w:widowControl/>
              <w:spacing w:after="0"/>
            </w:pPr>
            <w:r>
              <w:rPr>
                <w:rFonts w:ascii="Calibri" w:hAnsi="Calibri"/>
                <w:b w:val="0"/>
                <w:i w:val="0"/>
                <w:color w:val="172B4D"/>
                <w:sz w:val="17"/>
              </w:rPr>
              <w:t>Predictive 24–48 hour narrative forecasting.</w:t>
            </w:r>
          </w:p>
        </w:tc>
        <w:tc>
          <w:tcPr>
            <w:tcW w:type="dxa" w:w="1230"/>
          </w:tcPr>
          <w:p>
            <w:pPr>
              <w:widowControl/>
              <w:spacing w:after="0"/>
            </w:pPr>
            <w:r>
              <w:rPr>
                <w:rFonts w:ascii="Calibri" w:hAnsi="Calibri"/>
                <w:b w:val="0"/>
                <w:i w:val="0"/>
                <w:color w:val="172B4D"/>
                <w:sz w:val="17"/>
              </w:rPr>
              <w:t>Later</w:t>
            </w:r>
          </w:p>
        </w:tc>
      </w:tr>
      <w:tr>
        <w:tc>
          <w:tcPr>
            <w:tcW w:type="dxa" w:w="1050"/>
          </w:tcPr>
          <w:p>
            <w:pPr>
              <w:widowControl/>
              <w:spacing w:after="0"/>
            </w:pPr>
            <w:r>
              <w:rPr>
                <w:rFonts w:ascii="Calibri" w:hAnsi="Calibri"/>
                <w:b w:val="0"/>
                <w:i w:val="0"/>
                <w:color w:val="172B4D"/>
                <w:sz w:val="17"/>
              </w:rPr>
              <w:t>FR-033</w:t>
            </w:r>
          </w:p>
        </w:tc>
        <w:tc>
          <w:tcPr>
            <w:tcW w:type="dxa" w:w="7080"/>
          </w:tcPr>
          <w:p>
            <w:pPr>
              <w:widowControl/>
              <w:spacing w:after="0"/>
            </w:pPr>
            <w:r>
              <w:rPr>
                <w:rFonts w:ascii="Calibri" w:hAnsi="Calibri"/>
                <w:b w:val="0"/>
                <w:i w:val="0"/>
                <w:color w:val="172B4D"/>
                <w:sz w:val="17"/>
              </w:rPr>
              <w:t>Automated low-risk responses under tenant policy.</w:t>
            </w:r>
          </w:p>
        </w:tc>
        <w:tc>
          <w:tcPr>
            <w:tcW w:type="dxa" w:w="1230"/>
          </w:tcPr>
          <w:p>
            <w:pPr>
              <w:widowControl/>
              <w:spacing w:after="0"/>
            </w:pPr>
            <w:r>
              <w:rPr>
                <w:rFonts w:ascii="Calibri" w:hAnsi="Calibri"/>
                <w:b w:val="0"/>
                <w:i w:val="0"/>
                <w:color w:val="172B4D"/>
                <w:sz w:val="17"/>
              </w:rPr>
              <w:t>Later</w:t>
            </w:r>
          </w:p>
        </w:tc>
      </w:tr>
    </w:tbl>
    <w:p>
      <w:pPr>
        <w:widowControl/>
        <w:spacing w:after="0"/>
      </w:pPr>
    </w:p>
    <w:p>
      <w:pPr>
        <w:pStyle w:val="Heading1"/>
        <w:pageBreakBefore/>
        <w:widowControl/>
      </w:pPr>
      <w:r>
        <w:t>10. KPI framework</w:t>
      </w:r>
    </w:p>
    <w:tbl>
      <w:tblPr>
        <w:tblW w:type="dxa" w:w="9360"/>
        <w:jc w:val="left"/>
        <w:tblLayout w:type="fixed"/>
        <w:tblLook w:firstColumn="1" w:firstRow="1" w:lastColumn="0" w:lastRow="0" w:noHBand="0" w:noVBand="1" w:val="04A0"/>
        <w:tblInd w:w="120" w:type="dxa"/>
        <w:tblBorders>
          <w:top w:val="single" w:sz="5" w:color="D0D5DD"/>
          <w:left w:val="single" w:sz="5" w:color="D0D5DD"/>
          <w:bottom w:val="single" w:sz="5" w:color="D0D5DD"/>
          <w:right w:val="single" w:sz="5" w:color="D0D5DD"/>
          <w:insideH w:val="single" w:sz="5" w:color="D0D5DD"/>
          <w:insideV w:val="single" w:sz="5" w:color="D0D5DD"/>
        </w:tblBorders>
      </w:tblPr>
      <w:tblGrid>
        <w:gridCol w:w="1700"/>
        <w:gridCol w:w="3300"/>
        <w:gridCol w:w="4360"/>
      </w:tblGrid>
      <w:tr>
        <w:trPr>
          <w:tblHeader w:val="true"/>
        </w:trPr>
        <w:tc>
          <w:tcPr>
            <w:tcW w:type="dxa" w:w="1700"/>
            <w:vAlign w:val="center"/>
            <w:tcMar>
              <w:top w:w="80" w:type="dxa"/>
              <w:start w:w="120" w:type="dxa"/>
              <w:bottom w:w="80" w:type="dxa"/>
              <w:end w:w="120" w:type="dxa"/>
            </w:tcMar>
            <w:shd w:fill="F2F4F7"/>
          </w:tcPr>
          <w:p>
            <w:pPr>
              <w:widowControl/>
              <w:spacing w:after="0"/>
            </w:pPr>
            <w:r>
              <w:rPr>
                <w:rFonts w:ascii="Calibri" w:hAnsi="Calibri"/>
                <w:b/>
                <w:i w:val="0"/>
                <w:color w:val="0B2545"/>
                <w:sz w:val="18"/>
              </w:rPr>
              <w:t>Objective</w:t>
            </w:r>
          </w:p>
        </w:tc>
        <w:tc>
          <w:tcPr>
            <w:tcW w:type="dxa" w:w="3300"/>
            <w:vAlign w:val="center"/>
            <w:tcMar>
              <w:top w:w="80" w:type="dxa"/>
              <w:start w:w="120" w:type="dxa"/>
              <w:bottom w:w="80" w:type="dxa"/>
              <w:end w:w="120" w:type="dxa"/>
            </w:tcMar>
            <w:shd w:fill="F2F4F7"/>
          </w:tcPr>
          <w:p>
            <w:pPr>
              <w:widowControl/>
              <w:spacing w:after="0"/>
            </w:pPr>
            <w:r>
              <w:rPr>
                <w:rFonts w:ascii="Calibri" w:hAnsi="Calibri"/>
                <w:b/>
                <w:i w:val="0"/>
                <w:color w:val="0B2545"/>
                <w:sz w:val="18"/>
              </w:rPr>
              <w:t>Core KPIs</w:t>
            </w:r>
          </w:p>
        </w:tc>
        <w:tc>
          <w:tcPr>
            <w:tcW w:type="dxa" w:w="4360"/>
            <w:vAlign w:val="center"/>
            <w:tcMar>
              <w:top w:w="80" w:type="dxa"/>
              <w:start w:w="120" w:type="dxa"/>
              <w:bottom w:w="80" w:type="dxa"/>
              <w:end w:w="120" w:type="dxa"/>
            </w:tcMar>
            <w:shd w:fill="F2F4F7"/>
          </w:tcPr>
          <w:p>
            <w:pPr>
              <w:widowControl/>
              <w:spacing w:after="0"/>
            </w:pPr>
            <w:r>
              <w:rPr>
                <w:rFonts w:ascii="Calibri" w:hAnsi="Calibri"/>
                <w:b/>
                <w:i w:val="0"/>
                <w:color w:val="0B2545"/>
                <w:sz w:val="18"/>
              </w:rPr>
              <w:t>Interpretation notes</w:t>
            </w:r>
          </w:p>
        </w:tc>
      </w:tr>
      <w:tr>
        <w:tc>
          <w:tcPr>
            <w:tcW w:type="dxa" w:w="1700"/>
          </w:tcPr>
          <w:p>
            <w:pPr>
              <w:widowControl/>
              <w:spacing w:after="0"/>
            </w:pPr>
            <w:r>
              <w:rPr>
                <w:rFonts w:ascii="Calibri" w:hAnsi="Calibri"/>
                <w:b w:val="0"/>
                <w:i w:val="0"/>
                <w:color w:val="172B4D"/>
                <w:sz w:val="18"/>
              </w:rPr>
              <w:t>Reputation</w:t>
            </w:r>
          </w:p>
        </w:tc>
        <w:tc>
          <w:tcPr>
            <w:tcW w:type="dxa" w:w="3300"/>
          </w:tcPr>
          <w:p>
            <w:pPr>
              <w:widowControl/>
              <w:spacing w:after="0"/>
            </w:pPr>
            <w:r>
              <w:rPr>
                <w:rFonts w:ascii="Calibri" w:hAnsi="Calibri"/>
                <w:b w:val="0"/>
                <w:i w:val="0"/>
                <w:color w:val="172B4D"/>
                <w:sz w:val="18"/>
              </w:rPr>
              <w:t>Share of voice; net sentiment; positive/negative narrative share; reputation risk index.</w:t>
            </w:r>
          </w:p>
        </w:tc>
        <w:tc>
          <w:tcPr>
            <w:tcW w:type="dxa" w:w="4360"/>
          </w:tcPr>
          <w:p>
            <w:pPr>
              <w:widowControl/>
              <w:spacing w:after="0"/>
            </w:pPr>
            <w:r>
              <w:rPr>
                <w:rFonts w:ascii="Calibri" w:hAnsi="Calibri"/>
                <w:b w:val="0"/>
                <w:i w:val="0"/>
                <w:color w:val="172B4D"/>
                <w:sz w:val="18"/>
              </w:rPr>
              <w:t>Sentiment is directional and must be paired with volume, source tier and examples.</w:t>
            </w:r>
          </w:p>
        </w:tc>
      </w:tr>
      <w:tr>
        <w:tc>
          <w:tcPr>
            <w:tcW w:type="dxa" w:w="1700"/>
          </w:tcPr>
          <w:p>
            <w:pPr>
              <w:widowControl/>
              <w:spacing w:after="0"/>
            </w:pPr>
            <w:r>
              <w:rPr>
                <w:rFonts w:ascii="Calibri" w:hAnsi="Calibri"/>
                <w:b w:val="0"/>
                <w:i w:val="0"/>
                <w:color w:val="172B4D"/>
                <w:sz w:val="18"/>
              </w:rPr>
              <w:t>Earned media</w:t>
            </w:r>
          </w:p>
        </w:tc>
        <w:tc>
          <w:tcPr>
            <w:tcW w:type="dxa" w:w="3300"/>
          </w:tcPr>
          <w:p>
            <w:pPr>
              <w:widowControl/>
              <w:spacing w:after="0"/>
            </w:pPr>
            <w:r>
              <w:rPr>
                <w:rFonts w:ascii="Calibri" w:hAnsi="Calibri"/>
                <w:b w:val="0"/>
                <w:i w:val="0"/>
                <w:color w:val="172B4D"/>
                <w:sz w:val="18"/>
              </w:rPr>
              <w:t>Coverage volume; quality score; potential reach; message pull-through; spokesperson inclusion; top-tier coverage.</w:t>
            </w:r>
          </w:p>
        </w:tc>
        <w:tc>
          <w:tcPr>
            <w:tcW w:type="dxa" w:w="4360"/>
          </w:tcPr>
          <w:p>
            <w:pPr>
              <w:widowControl/>
              <w:spacing w:after="0"/>
            </w:pPr>
            <w:r>
              <w:rPr>
                <w:rFonts w:ascii="Calibri" w:hAnsi="Calibri"/>
                <w:b w:val="0"/>
                <w:i w:val="0"/>
                <w:color w:val="172B4D"/>
                <w:sz w:val="18"/>
              </w:rPr>
              <w:t>Do not treat potential reach or advertising value as realised audience or revenue.</w:t>
            </w:r>
          </w:p>
        </w:tc>
      </w:tr>
      <w:tr>
        <w:tc>
          <w:tcPr>
            <w:tcW w:type="dxa" w:w="1700"/>
          </w:tcPr>
          <w:p>
            <w:pPr>
              <w:widowControl/>
              <w:spacing w:after="0"/>
            </w:pPr>
            <w:r>
              <w:rPr>
                <w:rFonts w:ascii="Calibri" w:hAnsi="Calibri"/>
                <w:b w:val="0"/>
                <w:i w:val="0"/>
                <w:color w:val="172B4D"/>
                <w:sz w:val="18"/>
              </w:rPr>
              <w:t>Social growth</w:t>
            </w:r>
          </w:p>
        </w:tc>
        <w:tc>
          <w:tcPr>
            <w:tcW w:type="dxa" w:w="3300"/>
          </w:tcPr>
          <w:p>
            <w:pPr>
              <w:widowControl/>
              <w:spacing w:after="0"/>
            </w:pPr>
            <w:r>
              <w:rPr>
                <w:rFonts w:ascii="Calibri" w:hAnsi="Calibri"/>
                <w:b w:val="0"/>
                <w:i w:val="0"/>
                <w:color w:val="172B4D"/>
                <w:sz w:val="18"/>
              </w:rPr>
              <w:t>Reach/views; engagement rate; follower growth; saves/shares; completion/watch time.</w:t>
            </w:r>
          </w:p>
        </w:tc>
        <w:tc>
          <w:tcPr>
            <w:tcW w:type="dxa" w:w="4360"/>
          </w:tcPr>
          <w:p>
            <w:pPr>
              <w:widowControl/>
              <w:spacing w:after="0"/>
            </w:pPr>
            <w:r>
              <w:rPr>
                <w:rFonts w:ascii="Calibri" w:hAnsi="Calibri"/>
                <w:b w:val="0"/>
                <w:i w:val="0"/>
                <w:color w:val="172B4D"/>
                <w:sz w:val="18"/>
              </w:rPr>
              <w:t>Normalise by network and content type; preserve native metric definitions.</w:t>
            </w:r>
          </w:p>
        </w:tc>
      </w:tr>
      <w:tr>
        <w:tc>
          <w:tcPr>
            <w:tcW w:type="dxa" w:w="1700"/>
          </w:tcPr>
          <w:p>
            <w:pPr>
              <w:widowControl/>
              <w:spacing w:after="0"/>
            </w:pPr>
            <w:r>
              <w:rPr>
                <w:rFonts w:ascii="Calibri" w:hAnsi="Calibri"/>
                <w:b w:val="0"/>
                <w:i w:val="0"/>
                <w:color w:val="172B4D"/>
                <w:sz w:val="18"/>
              </w:rPr>
              <w:t>Community care</w:t>
            </w:r>
          </w:p>
        </w:tc>
        <w:tc>
          <w:tcPr>
            <w:tcW w:type="dxa" w:w="3300"/>
          </w:tcPr>
          <w:p>
            <w:pPr>
              <w:widowControl/>
              <w:spacing w:after="0"/>
            </w:pPr>
            <w:r>
              <w:rPr>
                <w:rFonts w:ascii="Calibri" w:hAnsi="Calibri"/>
                <w:b w:val="0"/>
                <w:i w:val="0"/>
                <w:color w:val="172B4D"/>
                <w:sz w:val="18"/>
              </w:rPr>
              <w:t>First-response time; resolution time; SLA attainment; backlog; reopen rate; quality score.</w:t>
            </w:r>
          </w:p>
        </w:tc>
        <w:tc>
          <w:tcPr>
            <w:tcW w:type="dxa" w:w="4360"/>
          </w:tcPr>
          <w:p>
            <w:pPr>
              <w:widowControl/>
              <w:spacing w:after="0"/>
            </w:pPr>
            <w:r>
              <w:rPr>
                <w:rFonts w:ascii="Calibri" w:hAnsi="Calibri"/>
                <w:b w:val="0"/>
                <w:i w:val="0"/>
                <w:color w:val="172B4D"/>
                <w:sz w:val="18"/>
              </w:rPr>
              <w:t>Separate public replies from true resolution; account for paused/waiting states.</w:t>
            </w:r>
          </w:p>
        </w:tc>
      </w:tr>
      <w:tr>
        <w:tc>
          <w:tcPr>
            <w:tcW w:type="dxa" w:w="1700"/>
          </w:tcPr>
          <w:p>
            <w:pPr>
              <w:widowControl/>
              <w:spacing w:after="0"/>
            </w:pPr>
            <w:r>
              <w:rPr>
                <w:rFonts w:ascii="Calibri" w:hAnsi="Calibri"/>
                <w:b w:val="0"/>
                <w:i w:val="0"/>
                <w:color w:val="172B4D"/>
                <w:sz w:val="18"/>
              </w:rPr>
              <w:t>Content effectiveness</w:t>
            </w:r>
          </w:p>
        </w:tc>
        <w:tc>
          <w:tcPr>
            <w:tcW w:type="dxa" w:w="3300"/>
          </w:tcPr>
          <w:p>
            <w:pPr>
              <w:widowControl/>
              <w:spacing w:after="0"/>
            </w:pPr>
            <w:r>
              <w:rPr>
                <w:rFonts w:ascii="Calibri" w:hAnsi="Calibri"/>
                <w:b w:val="0"/>
                <w:i w:val="0"/>
                <w:color w:val="172B4D"/>
                <w:sz w:val="18"/>
              </w:rPr>
              <w:t>Publishing reliability; approval cycle time; post performance vs benchmark; content pillar contribution.</w:t>
            </w:r>
          </w:p>
        </w:tc>
        <w:tc>
          <w:tcPr>
            <w:tcW w:type="dxa" w:w="4360"/>
          </w:tcPr>
          <w:p>
            <w:pPr>
              <w:widowControl/>
              <w:spacing w:after="0"/>
            </w:pPr>
            <w:r>
              <w:rPr>
                <w:rFonts w:ascii="Calibri" w:hAnsi="Calibri"/>
                <w:b w:val="0"/>
                <w:i w:val="0"/>
                <w:color w:val="172B4D"/>
                <w:sz w:val="18"/>
              </w:rPr>
              <w:t>Compare like with like and use rolling baselines.</w:t>
            </w:r>
          </w:p>
        </w:tc>
      </w:tr>
      <w:tr>
        <w:tc>
          <w:tcPr>
            <w:tcW w:type="dxa" w:w="1700"/>
          </w:tcPr>
          <w:p>
            <w:pPr>
              <w:widowControl/>
              <w:spacing w:after="0"/>
            </w:pPr>
            <w:r>
              <w:rPr>
                <w:rFonts w:ascii="Calibri" w:hAnsi="Calibri"/>
                <w:b w:val="0"/>
                <w:i w:val="0"/>
                <w:color w:val="172B4D"/>
                <w:sz w:val="18"/>
              </w:rPr>
              <w:t>Campaign impact</w:t>
            </w:r>
          </w:p>
        </w:tc>
        <w:tc>
          <w:tcPr>
            <w:tcW w:type="dxa" w:w="3300"/>
          </w:tcPr>
          <w:p>
            <w:pPr>
              <w:widowControl/>
              <w:spacing w:after="0"/>
            </w:pPr>
            <w:r>
              <w:rPr>
                <w:rFonts w:ascii="Calibri" w:hAnsi="Calibri"/>
                <w:b w:val="0"/>
                <w:i w:val="0"/>
                <w:color w:val="172B4D"/>
                <w:sz w:val="18"/>
              </w:rPr>
              <w:t>KPI lift vs baseline/control; cost per outcome; earned/owned contribution; objective completion.</w:t>
            </w:r>
          </w:p>
        </w:tc>
        <w:tc>
          <w:tcPr>
            <w:tcW w:type="dxa" w:w="4360"/>
          </w:tcPr>
          <w:p>
            <w:pPr>
              <w:widowControl/>
              <w:spacing w:after="0"/>
            </w:pPr>
            <w:r>
              <w:rPr>
                <w:rFonts w:ascii="Calibri" w:hAnsi="Calibri"/>
                <w:b w:val="0"/>
                <w:i w:val="0"/>
                <w:color w:val="172B4D"/>
                <w:sz w:val="18"/>
              </w:rPr>
              <w:t>Require campaign tagging and an agreed pre-period.</w:t>
            </w:r>
          </w:p>
        </w:tc>
      </w:tr>
      <w:tr>
        <w:tc>
          <w:tcPr>
            <w:tcW w:type="dxa" w:w="1700"/>
          </w:tcPr>
          <w:p>
            <w:pPr>
              <w:widowControl/>
              <w:spacing w:after="0"/>
            </w:pPr>
            <w:r>
              <w:rPr>
                <w:rFonts w:ascii="Calibri" w:hAnsi="Calibri"/>
                <w:b w:val="0"/>
                <w:i w:val="0"/>
                <w:color w:val="172B4D"/>
                <w:sz w:val="18"/>
              </w:rPr>
              <w:t>Crisis readiness</w:t>
            </w:r>
          </w:p>
        </w:tc>
        <w:tc>
          <w:tcPr>
            <w:tcW w:type="dxa" w:w="3300"/>
          </w:tcPr>
          <w:p>
            <w:pPr>
              <w:widowControl/>
              <w:spacing w:after="0"/>
            </w:pPr>
            <w:r>
              <w:rPr>
                <w:rFonts w:ascii="Calibri" w:hAnsi="Calibri"/>
                <w:b w:val="0"/>
                <w:i w:val="0"/>
                <w:color w:val="172B4D"/>
                <w:sz w:val="18"/>
              </w:rPr>
              <w:t>Detection time; triage time; approval time; first statement; narrative containment; recovery time.</w:t>
            </w:r>
          </w:p>
        </w:tc>
        <w:tc>
          <w:tcPr>
            <w:tcW w:type="dxa" w:w="4360"/>
          </w:tcPr>
          <w:p>
            <w:pPr>
              <w:widowControl/>
              <w:spacing w:after="0"/>
            </w:pPr>
            <w:r>
              <w:rPr>
                <w:rFonts w:ascii="Calibri" w:hAnsi="Calibri"/>
                <w:b w:val="0"/>
                <w:i w:val="0"/>
                <w:color w:val="172B4D"/>
                <w:sz w:val="18"/>
              </w:rPr>
              <w:t>Reconstruct from immutable timeline and document decision context.</w:t>
            </w:r>
          </w:p>
        </w:tc>
      </w:tr>
      <w:tr>
        <w:tc>
          <w:tcPr>
            <w:tcW w:type="dxa" w:w="1700"/>
          </w:tcPr>
          <w:p>
            <w:pPr>
              <w:widowControl/>
              <w:spacing w:after="0"/>
            </w:pPr>
            <w:r>
              <w:rPr>
                <w:rFonts w:ascii="Calibri" w:hAnsi="Calibri"/>
                <w:b w:val="0"/>
                <w:i w:val="0"/>
                <w:color w:val="172B4D"/>
                <w:sz w:val="18"/>
              </w:rPr>
              <w:t>Operational efficiency</w:t>
            </w:r>
          </w:p>
        </w:tc>
        <w:tc>
          <w:tcPr>
            <w:tcW w:type="dxa" w:w="3300"/>
          </w:tcPr>
          <w:p>
            <w:pPr>
              <w:widowControl/>
              <w:spacing w:after="0"/>
            </w:pPr>
            <w:r>
              <w:rPr>
                <w:rFonts w:ascii="Calibri" w:hAnsi="Calibri"/>
                <w:b w:val="0"/>
                <w:i w:val="0"/>
                <w:color w:val="172B4D"/>
                <w:sz w:val="18"/>
              </w:rPr>
              <w:t>Manual hours saved; automation rate; report preparation time; alert precision; analyst override rate.</w:t>
            </w:r>
          </w:p>
        </w:tc>
        <w:tc>
          <w:tcPr>
            <w:tcW w:type="dxa" w:w="4360"/>
          </w:tcPr>
          <w:p>
            <w:pPr>
              <w:widowControl/>
              <w:spacing w:after="0"/>
            </w:pPr>
            <w:r>
              <w:rPr>
                <w:rFonts w:ascii="Calibri" w:hAnsi="Calibri"/>
                <w:b w:val="0"/>
                <w:i w:val="0"/>
                <w:color w:val="172B4D"/>
                <w:sz w:val="18"/>
              </w:rPr>
              <w:t>Measure quality alongside speed to avoid rewarding poor automation.</w:t>
            </w:r>
          </w:p>
        </w:tc>
      </w:tr>
    </w:tbl>
    <w:p>
      <w:pPr>
        <w:widowControl/>
        <w:spacing w:after="0"/>
      </w:pPr>
    </w:p>
    <w:p>
      <w:pPr>
        <w:pStyle w:val="Heading2"/>
        <w:widowControl/>
      </w:pPr>
      <w:r>
        <w:t>10.1 Suggested reputation risk index</w:t>
      </w:r>
    </w:p>
    <w:p>
      <w:pPr>
        <w:widowControl/>
      </w:pPr>
      <w:r>
        <w:rPr>
          <w:rFonts w:ascii="Calibri" w:hAnsi="Calibri"/>
          <w:b w:val="0"/>
          <w:i w:val="0"/>
          <w:color w:val="172B4D"/>
          <w:sz w:val="22"/>
        </w:rPr>
        <w:t>Use a transparent composite score rather than one opaque AI risk number. A suggested model is: 25% negative-mention velocity, 20% source/influencer impact, 20% narrative severity, 15% cross-channel spread, 10% stakeholder sensitivity and 10% unresolved-response exposure. Each component must show its raw value, normalisation and evidence.</w:t>
      </w:r>
    </w:p>
    <w:p>
      <w:pPr>
        <w:pStyle w:val="Heading1"/>
        <w:pageBreakBefore/>
        <w:widowControl/>
      </w:pPr>
      <w:r>
        <w:t>11. Data and technical architecture</w:t>
      </w:r>
    </w:p>
    <w:p>
      <w:pPr>
        <w:widowControl/>
      </w:pPr>
      <w:r>
        <w:drawing>
          <wp:inline xmlns:a="http://schemas.openxmlformats.org/drawingml/2006/main" xmlns:pic="http://schemas.openxmlformats.org/drawingml/2006/picture">
            <wp:extent cx="5897880" cy="4157254"/>
            <wp:docPr id="2" name="Picture 2" descr="Layered Mi-Insite reference architecture from connectors and data platform through intelligence, workflow and user experience."/>
            <wp:cNvGraphicFramePr>
              <a:graphicFrameLocks noChangeAspect="1"/>
            </wp:cNvGraphicFramePr>
            <a:graphic>
              <a:graphicData uri="http://schemas.openxmlformats.org/drawingml/2006/picture">
                <pic:pic>
                  <pic:nvPicPr>
                    <pic:cNvPr id="0" name="architecture.png"/>
                    <pic:cNvPicPr/>
                  </pic:nvPicPr>
                  <pic:blipFill>
                    <a:blip r:embed="rId12"/>
                    <a:stretch>
                      <a:fillRect/>
                    </a:stretch>
                  </pic:blipFill>
                  <pic:spPr>
                    <a:xfrm>
                      <a:off x="0" y="0"/>
                      <a:ext cx="5897880" cy="4157254"/>
                    </a:xfrm>
                    <a:prstGeom prst="rect"/>
                  </pic:spPr>
                </pic:pic>
              </a:graphicData>
            </a:graphic>
          </wp:inline>
        </w:drawing>
      </w:r>
    </w:p>
    <w:p>
      <w:pPr>
        <w:pStyle w:val="CaptionSmall"/>
        <w:widowControl/>
        <w:jc w:val="center"/>
      </w:pPr>
      <w:r>
        <w:t>Figure 2. Layered architecture that keeps the experience independent of individual source providers.</w:t>
      </w:r>
    </w:p>
    <w:p>
      <w:pPr>
        <w:pStyle w:val="Heading2"/>
        <w:widowControl/>
      </w:pPr>
      <w:r>
        <w:t>11.1 Canonical data model</w:t>
      </w:r>
    </w:p>
    <w:tbl>
      <w:tblPr>
        <w:tblW w:type="dxa" w:w="9360"/>
        <w:jc w:val="left"/>
        <w:tblLayout w:type="fixed"/>
        <w:tblLook w:firstColumn="1" w:firstRow="1" w:lastColumn="0" w:lastRow="0" w:noHBand="0" w:noVBand="1" w:val="04A0"/>
        <w:tblInd w:w="120" w:type="dxa"/>
        <w:tblBorders>
          <w:top w:val="single" w:sz="5" w:color="D0D5DD"/>
          <w:left w:val="single" w:sz="5" w:color="D0D5DD"/>
          <w:bottom w:val="single" w:sz="5" w:color="D0D5DD"/>
          <w:right w:val="single" w:sz="5" w:color="D0D5DD"/>
          <w:insideH w:val="single" w:sz="5" w:color="D0D5DD"/>
          <w:insideV w:val="single" w:sz="5" w:color="D0D5DD"/>
        </w:tblBorders>
      </w:tblPr>
      <w:tblGrid>
        <w:gridCol w:w="2200"/>
        <w:gridCol w:w="7160"/>
      </w:tblGrid>
      <w:tr>
        <w:trPr>
          <w:tblHeader w:val="true"/>
        </w:trPr>
        <w:tc>
          <w:tcPr>
            <w:tcW w:type="dxa" w:w="2200"/>
            <w:vAlign w:val="center"/>
            <w:tcMar>
              <w:top w:w="80" w:type="dxa"/>
              <w:start w:w="120" w:type="dxa"/>
              <w:bottom w:w="80" w:type="dxa"/>
              <w:end w:w="120" w:type="dxa"/>
            </w:tcMar>
            <w:shd w:fill="F2F4F7"/>
          </w:tcPr>
          <w:p>
            <w:pPr>
              <w:widowControl/>
              <w:spacing w:after="0"/>
            </w:pPr>
            <w:r>
              <w:rPr>
                <w:rFonts w:ascii="Calibri" w:hAnsi="Calibri"/>
                <w:b/>
                <w:i w:val="0"/>
                <w:color w:val="0B2545"/>
                <w:sz w:val="18"/>
              </w:rPr>
              <w:t>Object</w:t>
            </w:r>
          </w:p>
        </w:tc>
        <w:tc>
          <w:tcPr>
            <w:tcW w:type="dxa" w:w="7160"/>
            <w:vAlign w:val="center"/>
            <w:tcMar>
              <w:top w:w="80" w:type="dxa"/>
              <w:start w:w="120" w:type="dxa"/>
              <w:bottom w:w="80" w:type="dxa"/>
              <w:end w:w="120" w:type="dxa"/>
            </w:tcMar>
            <w:shd w:fill="F2F4F7"/>
          </w:tcPr>
          <w:p>
            <w:pPr>
              <w:widowControl/>
              <w:spacing w:after="0"/>
            </w:pPr>
            <w:r>
              <w:rPr>
                <w:rFonts w:ascii="Calibri" w:hAnsi="Calibri"/>
                <w:b/>
                <w:i w:val="0"/>
                <w:color w:val="0B2545"/>
                <w:sz w:val="18"/>
              </w:rPr>
              <w:t>Purpose / key relationships</w:t>
            </w:r>
          </w:p>
        </w:tc>
      </w:tr>
      <w:tr>
        <w:tc>
          <w:tcPr>
            <w:tcW w:type="dxa" w:w="2200"/>
          </w:tcPr>
          <w:p>
            <w:pPr>
              <w:widowControl/>
              <w:spacing w:after="0"/>
            </w:pPr>
            <w:r>
              <w:rPr>
                <w:rFonts w:ascii="Calibri" w:hAnsi="Calibri"/>
                <w:b w:val="0"/>
                <w:i w:val="0"/>
                <w:color w:val="172B4D"/>
                <w:sz w:val="18"/>
              </w:rPr>
              <w:t>Tenant / Workspace</w:t>
            </w:r>
          </w:p>
        </w:tc>
        <w:tc>
          <w:tcPr>
            <w:tcW w:type="dxa" w:w="7160"/>
          </w:tcPr>
          <w:p>
            <w:pPr>
              <w:widowControl/>
              <w:spacing w:after="0"/>
            </w:pPr>
            <w:r>
              <w:rPr>
                <w:rFonts w:ascii="Calibri" w:hAnsi="Calibri"/>
                <w:b w:val="0"/>
                <w:i w:val="0"/>
                <w:color w:val="172B4D"/>
                <w:sz w:val="18"/>
              </w:rPr>
              <w:t>Commercial and permission boundary; owns settings, connectors, taxonomy and retention.</w:t>
            </w:r>
          </w:p>
        </w:tc>
      </w:tr>
      <w:tr>
        <w:tc>
          <w:tcPr>
            <w:tcW w:type="dxa" w:w="2200"/>
          </w:tcPr>
          <w:p>
            <w:pPr>
              <w:widowControl/>
              <w:spacing w:after="0"/>
            </w:pPr>
            <w:r>
              <w:rPr>
                <w:rFonts w:ascii="Calibri" w:hAnsi="Calibri"/>
                <w:b w:val="0"/>
                <w:i w:val="0"/>
                <w:color w:val="172B4D"/>
                <w:sz w:val="18"/>
              </w:rPr>
              <w:t>Source / Connector</w:t>
            </w:r>
          </w:p>
        </w:tc>
        <w:tc>
          <w:tcPr>
            <w:tcW w:type="dxa" w:w="7160"/>
          </w:tcPr>
          <w:p>
            <w:pPr>
              <w:widowControl/>
              <w:spacing w:after="0"/>
            </w:pPr>
            <w:r>
              <w:rPr>
                <w:rFonts w:ascii="Calibri" w:hAnsi="Calibri"/>
                <w:b w:val="0"/>
                <w:i w:val="0"/>
                <w:color w:val="172B4D"/>
                <w:sz w:val="18"/>
              </w:rPr>
              <w:t>Defines provider, authentication, entitlement, rate limits and licence constraints.</w:t>
            </w:r>
          </w:p>
        </w:tc>
      </w:tr>
      <w:tr>
        <w:tc>
          <w:tcPr>
            <w:tcW w:type="dxa" w:w="2200"/>
          </w:tcPr>
          <w:p>
            <w:pPr>
              <w:widowControl/>
              <w:spacing w:after="0"/>
            </w:pPr>
            <w:r>
              <w:rPr>
                <w:rFonts w:ascii="Calibri" w:hAnsi="Calibri"/>
                <w:b w:val="0"/>
                <w:i w:val="0"/>
                <w:color w:val="172B4D"/>
                <w:sz w:val="18"/>
              </w:rPr>
              <w:t>Content Item</w:t>
            </w:r>
          </w:p>
        </w:tc>
        <w:tc>
          <w:tcPr>
            <w:tcW w:type="dxa" w:w="7160"/>
          </w:tcPr>
          <w:p>
            <w:pPr>
              <w:widowControl/>
              <w:spacing w:after="0"/>
            </w:pPr>
            <w:r>
              <w:rPr>
                <w:rFonts w:ascii="Calibri" w:hAnsi="Calibri"/>
                <w:b w:val="0"/>
                <w:i w:val="0"/>
                <w:color w:val="172B4D"/>
                <w:sz w:val="18"/>
              </w:rPr>
              <w:t>Canonical record for article, post, comment, message, review, broadcast segment or AI response.</w:t>
            </w:r>
          </w:p>
        </w:tc>
      </w:tr>
      <w:tr>
        <w:tc>
          <w:tcPr>
            <w:tcW w:type="dxa" w:w="2200"/>
          </w:tcPr>
          <w:p>
            <w:pPr>
              <w:widowControl/>
              <w:spacing w:after="0"/>
            </w:pPr>
            <w:r>
              <w:rPr>
                <w:rFonts w:ascii="Calibri" w:hAnsi="Calibri"/>
                <w:b w:val="0"/>
                <w:i w:val="0"/>
                <w:color w:val="172B4D"/>
                <w:sz w:val="18"/>
              </w:rPr>
              <w:t>Author / Outlet / Person</w:t>
            </w:r>
          </w:p>
        </w:tc>
        <w:tc>
          <w:tcPr>
            <w:tcW w:type="dxa" w:w="7160"/>
          </w:tcPr>
          <w:p>
            <w:pPr>
              <w:widowControl/>
              <w:spacing w:after="0"/>
            </w:pPr>
            <w:r>
              <w:rPr>
                <w:rFonts w:ascii="Calibri" w:hAnsi="Calibri"/>
                <w:b w:val="0"/>
                <w:i w:val="0"/>
                <w:color w:val="172B4D"/>
                <w:sz w:val="18"/>
              </w:rPr>
              <w:t>Identity entities with provenance, confidence and privacy controls.</w:t>
            </w:r>
          </w:p>
        </w:tc>
      </w:tr>
      <w:tr>
        <w:tc>
          <w:tcPr>
            <w:tcW w:type="dxa" w:w="2200"/>
          </w:tcPr>
          <w:p>
            <w:pPr>
              <w:widowControl/>
              <w:spacing w:after="0"/>
            </w:pPr>
            <w:r>
              <w:rPr>
                <w:rFonts w:ascii="Calibri" w:hAnsi="Calibri"/>
                <w:b w:val="0"/>
                <w:i w:val="0"/>
                <w:color w:val="172B4D"/>
                <w:sz w:val="18"/>
              </w:rPr>
              <w:t>Entity / Topic / Narrative</w:t>
            </w:r>
          </w:p>
        </w:tc>
        <w:tc>
          <w:tcPr>
            <w:tcW w:type="dxa" w:w="7160"/>
          </w:tcPr>
          <w:p>
            <w:pPr>
              <w:widowControl/>
              <w:spacing w:after="0"/>
            </w:pPr>
            <w:r>
              <w:rPr>
                <w:rFonts w:ascii="Calibri" w:hAnsi="Calibri"/>
                <w:b w:val="0"/>
                <w:i w:val="0"/>
                <w:color w:val="172B4D"/>
                <w:sz w:val="18"/>
              </w:rPr>
              <w:t>Enrichment and clustering layer; supports analyst corrections and versions.</w:t>
            </w:r>
          </w:p>
        </w:tc>
      </w:tr>
      <w:tr>
        <w:tc>
          <w:tcPr>
            <w:tcW w:type="dxa" w:w="2200"/>
          </w:tcPr>
          <w:p>
            <w:pPr>
              <w:widowControl/>
              <w:spacing w:after="0"/>
            </w:pPr>
            <w:r>
              <w:rPr>
                <w:rFonts w:ascii="Calibri" w:hAnsi="Calibri"/>
                <w:b w:val="0"/>
                <w:i w:val="0"/>
                <w:color w:val="172B4D"/>
                <w:sz w:val="18"/>
              </w:rPr>
              <w:t>Query / Monitor / Alert</w:t>
            </w:r>
          </w:p>
        </w:tc>
        <w:tc>
          <w:tcPr>
            <w:tcW w:type="dxa" w:w="7160"/>
          </w:tcPr>
          <w:p>
            <w:pPr>
              <w:widowControl/>
              <w:spacing w:after="0"/>
            </w:pPr>
            <w:r>
              <w:rPr>
                <w:rFonts w:ascii="Calibri" w:hAnsi="Calibri"/>
                <w:b w:val="0"/>
                <w:i w:val="0"/>
                <w:color w:val="172B4D"/>
                <w:sz w:val="18"/>
              </w:rPr>
              <w:t>Defines inclusion logic, schedule, thresholds, recipients and query version.</w:t>
            </w:r>
          </w:p>
        </w:tc>
      </w:tr>
      <w:tr>
        <w:tc>
          <w:tcPr>
            <w:tcW w:type="dxa" w:w="2200"/>
          </w:tcPr>
          <w:p>
            <w:pPr>
              <w:widowControl/>
              <w:spacing w:after="0"/>
            </w:pPr>
            <w:r>
              <w:rPr>
                <w:rFonts w:ascii="Calibri" w:hAnsi="Calibri"/>
                <w:b w:val="0"/>
                <w:i w:val="0"/>
                <w:color w:val="172B4D"/>
                <w:sz w:val="18"/>
              </w:rPr>
              <w:t>Conversation / Case</w:t>
            </w:r>
          </w:p>
        </w:tc>
        <w:tc>
          <w:tcPr>
            <w:tcW w:type="dxa" w:w="7160"/>
          </w:tcPr>
          <w:p>
            <w:pPr>
              <w:widowControl/>
              <w:spacing w:after="0"/>
            </w:pPr>
            <w:r>
              <w:rPr>
                <w:rFonts w:ascii="Calibri" w:hAnsi="Calibri"/>
                <w:b w:val="0"/>
                <w:i w:val="0"/>
                <w:color w:val="172B4D"/>
                <w:sz w:val="18"/>
              </w:rPr>
              <w:t>Operational object connecting inbound content, person, owner, SLA, response and resolution.</w:t>
            </w:r>
          </w:p>
        </w:tc>
      </w:tr>
      <w:tr>
        <w:tc>
          <w:tcPr>
            <w:tcW w:type="dxa" w:w="2200"/>
          </w:tcPr>
          <w:p>
            <w:pPr>
              <w:widowControl/>
              <w:spacing w:after="0"/>
            </w:pPr>
            <w:r>
              <w:rPr>
                <w:rFonts w:ascii="Calibri" w:hAnsi="Calibri"/>
                <w:b w:val="0"/>
                <w:i w:val="0"/>
                <w:color w:val="172B4D"/>
                <w:sz w:val="18"/>
              </w:rPr>
              <w:t>Post / Variant / Asset</w:t>
            </w:r>
          </w:p>
        </w:tc>
        <w:tc>
          <w:tcPr>
            <w:tcW w:type="dxa" w:w="7160"/>
          </w:tcPr>
          <w:p>
            <w:pPr>
              <w:widowControl/>
              <w:spacing w:after="0"/>
            </w:pPr>
            <w:r>
              <w:rPr>
                <w:rFonts w:ascii="Calibri" w:hAnsi="Calibri"/>
                <w:b w:val="0"/>
                <w:i w:val="0"/>
                <w:color w:val="172B4D"/>
                <w:sz w:val="18"/>
              </w:rPr>
              <w:t>Owned content, network rendering, rights, approvals and publication status.</w:t>
            </w:r>
          </w:p>
        </w:tc>
      </w:tr>
      <w:tr>
        <w:tc>
          <w:tcPr>
            <w:tcW w:type="dxa" w:w="2200"/>
          </w:tcPr>
          <w:p>
            <w:pPr>
              <w:widowControl/>
              <w:spacing w:after="0"/>
            </w:pPr>
            <w:r>
              <w:rPr>
                <w:rFonts w:ascii="Calibri" w:hAnsi="Calibri"/>
                <w:b w:val="0"/>
                <w:i w:val="0"/>
                <w:color w:val="172B4D"/>
                <w:sz w:val="18"/>
              </w:rPr>
              <w:t>Campaign</w:t>
            </w:r>
          </w:p>
        </w:tc>
        <w:tc>
          <w:tcPr>
            <w:tcW w:type="dxa" w:w="7160"/>
          </w:tcPr>
          <w:p>
            <w:pPr>
              <w:widowControl/>
              <w:spacing w:after="0"/>
            </w:pPr>
            <w:r>
              <w:rPr>
                <w:rFonts w:ascii="Calibri" w:hAnsi="Calibri"/>
                <w:b w:val="0"/>
                <w:i w:val="0"/>
                <w:color w:val="172B4D"/>
                <w:sz w:val="18"/>
              </w:rPr>
              <w:t>Joins objectives, audience, content, coverage, cost, KPI and reporting period.</w:t>
            </w:r>
          </w:p>
        </w:tc>
      </w:tr>
      <w:tr>
        <w:tc>
          <w:tcPr>
            <w:tcW w:type="dxa" w:w="2200"/>
          </w:tcPr>
          <w:p>
            <w:pPr>
              <w:widowControl/>
              <w:spacing w:after="0"/>
            </w:pPr>
            <w:r>
              <w:rPr>
                <w:rFonts w:ascii="Calibri" w:hAnsi="Calibri"/>
                <w:b w:val="0"/>
                <w:i w:val="0"/>
                <w:color w:val="172B4D"/>
                <w:sz w:val="18"/>
              </w:rPr>
              <w:t>KPI Definition / Observation</w:t>
            </w:r>
          </w:p>
        </w:tc>
        <w:tc>
          <w:tcPr>
            <w:tcW w:type="dxa" w:w="7160"/>
          </w:tcPr>
          <w:p>
            <w:pPr>
              <w:widowControl/>
              <w:spacing w:after="0"/>
            </w:pPr>
            <w:r>
              <w:rPr>
                <w:rFonts w:ascii="Calibri" w:hAnsi="Calibri"/>
                <w:b w:val="0"/>
                <w:i w:val="0"/>
                <w:color w:val="172B4D"/>
                <w:sz w:val="18"/>
              </w:rPr>
              <w:t>Governed metric and its timestamped calculated value with source lineage.</w:t>
            </w:r>
          </w:p>
        </w:tc>
      </w:tr>
      <w:tr>
        <w:tc>
          <w:tcPr>
            <w:tcW w:type="dxa" w:w="2200"/>
          </w:tcPr>
          <w:p>
            <w:pPr>
              <w:widowControl/>
              <w:spacing w:after="0"/>
            </w:pPr>
            <w:r>
              <w:rPr>
                <w:rFonts w:ascii="Calibri" w:hAnsi="Calibri"/>
                <w:b w:val="0"/>
                <w:i w:val="0"/>
                <w:color w:val="172B4D"/>
                <w:sz w:val="18"/>
              </w:rPr>
              <w:t>Archive Snapshot</w:t>
            </w:r>
          </w:p>
        </w:tc>
        <w:tc>
          <w:tcPr>
            <w:tcW w:type="dxa" w:w="7160"/>
          </w:tcPr>
          <w:p>
            <w:pPr>
              <w:widowControl/>
              <w:spacing w:after="0"/>
            </w:pPr>
            <w:r>
              <w:rPr>
                <w:rFonts w:ascii="Calibri" w:hAnsi="Calibri"/>
                <w:b w:val="0"/>
                <w:i w:val="0"/>
                <w:color w:val="172B4D"/>
                <w:sz w:val="18"/>
              </w:rPr>
              <w:t>Permitted evidence copy, checksum, versions, retention and legal hold.</w:t>
            </w:r>
          </w:p>
        </w:tc>
      </w:tr>
      <w:tr>
        <w:tc>
          <w:tcPr>
            <w:tcW w:type="dxa" w:w="2200"/>
          </w:tcPr>
          <w:p>
            <w:pPr>
              <w:widowControl/>
              <w:spacing w:after="0"/>
            </w:pPr>
            <w:r>
              <w:rPr>
                <w:rFonts w:ascii="Calibri" w:hAnsi="Calibri"/>
                <w:b w:val="0"/>
                <w:i w:val="0"/>
                <w:color w:val="172B4D"/>
                <w:sz w:val="18"/>
              </w:rPr>
              <w:t>Report / Dashboard</w:t>
            </w:r>
          </w:p>
        </w:tc>
        <w:tc>
          <w:tcPr>
            <w:tcW w:type="dxa" w:w="7160"/>
          </w:tcPr>
          <w:p>
            <w:pPr>
              <w:widowControl/>
              <w:spacing w:after="0"/>
            </w:pPr>
            <w:r>
              <w:rPr>
                <w:rFonts w:ascii="Calibri" w:hAnsi="Calibri"/>
                <w:b w:val="0"/>
                <w:i w:val="0"/>
                <w:color w:val="172B4D"/>
                <w:sz w:val="18"/>
              </w:rPr>
              <w:t>Saved selection of metrics, evidence, narrative, audience and delivery schedule.</w:t>
            </w:r>
          </w:p>
        </w:tc>
      </w:tr>
      <w:tr>
        <w:tc>
          <w:tcPr>
            <w:tcW w:type="dxa" w:w="2200"/>
          </w:tcPr>
          <w:p>
            <w:pPr>
              <w:widowControl/>
              <w:spacing w:after="0"/>
            </w:pPr>
            <w:r>
              <w:rPr>
                <w:rFonts w:ascii="Calibri" w:hAnsi="Calibri"/>
                <w:b w:val="0"/>
                <w:i w:val="0"/>
                <w:color w:val="172B4D"/>
                <w:sz w:val="18"/>
              </w:rPr>
              <w:t>Incident</w:t>
            </w:r>
          </w:p>
        </w:tc>
        <w:tc>
          <w:tcPr>
            <w:tcW w:type="dxa" w:w="7160"/>
          </w:tcPr>
          <w:p>
            <w:pPr>
              <w:widowControl/>
              <w:spacing w:after="0"/>
            </w:pPr>
            <w:r>
              <w:rPr>
                <w:rFonts w:ascii="Calibri" w:hAnsi="Calibri"/>
                <w:b w:val="0"/>
                <w:i w:val="0"/>
                <w:color w:val="172B4D"/>
                <w:sz w:val="18"/>
              </w:rPr>
              <w:t>Crisis object joining timeline, stakeholders, actions, decisions and post-incident review.</w:t>
            </w:r>
          </w:p>
        </w:tc>
      </w:tr>
    </w:tbl>
    <w:p>
      <w:pPr>
        <w:widowControl/>
        <w:spacing w:after="0"/>
      </w:pPr>
    </w:p>
    <w:p>
      <w:pPr>
        <w:pStyle w:val="Heading2"/>
        <w:widowControl/>
      </w:pPr>
      <w:r>
        <w:t>11.2 Ingestion pattern</w:t>
      </w:r>
    </w:p>
    <w:p>
      <w:pPr>
        <w:pStyle w:val="ListNumber"/>
        <w:widowControl/>
        <w:numPr>
          <w:ilvl w:val="0"/>
          <w:numId w:val="15"/>
        </w:numPr>
      </w:pPr>
      <w:r>
        <w:rPr>
          <w:rFonts w:ascii="Calibri" w:hAnsi="Calibri"/>
          <w:b w:val="0"/>
          <w:i w:val="0"/>
          <w:color w:val="172B4D"/>
          <w:sz w:val="22"/>
        </w:rPr>
        <w:t>Connector receives webhook events or polls according to source rules and entitlements.</w:t>
      </w:r>
    </w:p>
    <w:p>
      <w:pPr>
        <w:pStyle w:val="ListNumber"/>
        <w:widowControl/>
        <w:numPr>
          <w:ilvl w:val="0"/>
          <w:numId w:val="15"/>
        </w:numPr>
      </w:pPr>
      <w:r>
        <w:rPr>
          <w:rFonts w:ascii="Calibri" w:hAnsi="Calibri"/>
          <w:b w:val="0"/>
          <w:i w:val="0"/>
          <w:color w:val="172B4D"/>
          <w:sz w:val="22"/>
        </w:rPr>
        <w:t>Raw payload is encrypted and retained only as permitted.</w:t>
      </w:r>
    </w:p>
    <w:p>
      <w:pPr>
        <w:pStyle w:val="ListNumber"/>
        <w:widowControl/>
        <w:numPr>
          <w:ilvl w:val="0"/>
          <w:numId w:val="15"/>
        </w:numPr>
      </w:pPr>
      <w:r>
        <w:rPr>
          <w:rFonts w:ascii="Calibri" w:hAnsi="Calibri"/>
          <w:b w:val="0"/>
          <w:i w:val="0"/>
          <w:color w:val="172B4D"/>
          <w:sz w:val="22"/>
        </w:rPr>
        <w:t>Normalizer maps it into the canonical content model and records source lineage.</w:t>
      </w:r>
    </w:p>
    <w:p>
      <w:pPr>
        <w:pStyle w:val="ListNumber"/>
        <w:widowControl/>
        <w:numPr>
          <w:ilvl w:val="0"/>
          <w:numId w:val="15"/>
        </w:numPr>
      </w:pPr>
      <w:r>
        <w:rPr>
          <w:rFonts w:ascii="Calibri" w:hAnsi="Calibri"/>
          <w:b w:val="0"/>
          <w:i w:val="0"/>
          <w:color w:val="172B4D"/>
          <w:sz w:val="22"/>
        </w:rPr>
        <w:t>Deduplication identifies exact duplicates, syndication and near-duplicate narratives.</w:t>
      </w:r>
    </w:p>
    <w:p>
      <w:pPr>
        <w:pStyle w:val="ListNumber"/>
        <w:widowControl/>
        <w:numPr>
          <w:ilvl w:val="0"/>
          <w:numId w:val="15"/>
        </w:numPr>
      </w:pPr>
      <w:r>
        <w:rPr>
          <w:rFonts w:ascii="Calibri" w:hAnsi="Calibri"/>
          <w:b w:val="0"/>
          <w:i w:val="0"/>
          <w:color w:val="172B4D"/>
          <w:sz w:val="22"/>
        </w:rPr>
        <w:t>Enrichment extracts language, entities, topics, sentiment, risk and embeddings.</w:t>
      </w:r>
    </w:p>
    <w:p>
      <w:pPr>
        <w:pStyle w:val="ListNumber"/>
        <w:widowControl/>
        <w:numPr>
          <w:ilvl w:val="0"/>
          <w:numId w:val="15"/>
        </w:numPr>
      </w:pPr>
      <w:r>
        <w:rPr>
          <w:rFonts w:ascii="Calibri" w:hAnsi="Calibri"/>
          <w:b w:val="0"/>
          <w:i w:val="0"/>
          <w:color w:val="172B4D"/>
          <w:sz w:val="22"/>
        </w:rPr>
        <w:t>Search index supports fast retrieval; analytics store supports aggregates; object storage preserves authorised evidence.</w:t>
      </w:r>
    </w:p>
    <w:p>
      <w:pPr>
        <w:pStyle w:val="ListNumber"/>
        <w:widowControl/>
        <w:numPr>
          <w:ilvl w:val="0"/>
          <w:numId w:val="15"/>
        </w:numPr>
      </w:pPr>
      <w:r>
        <w:rPr>
          <w:rFonts w:ascii="Calibri" w:hAnsi="Calibri"/>
          <w:b w:val="0"/>
          <w:i w:val="0"/>
          <w:color w:val="172B4D"/>
          <w:sz w:val="22"/>
        </w:rPr>
        <w:t>Rules engine triggers alerts, cases, KPI recalculation and downstream workflows.</w:t>
      </w:r>
    </w:p>
    <w:p>
      <w:pPr>
        <w:pStyle w:val="Heading2"/>
        <w:widowControl/>
      </w:pPr>
      <w:r>
        <w:t>11.3 Technology choices—reference, not prescription</w:t>
      </w:r>
    </w:p>
    <w:tbl>
      <w:tblPr>
        <w:tblW w:type="dxa" w:w="9360"/>
        <w:jc w:val="left"/>
        <w:tblLayout w:type="fixed"/>
        <w:tblLook w:firstColumn="1" w:firstRow="1" w:lastColumn="0" w:lastRow="0" w:noHBand="0" w:noVBand="1" w:val="04A0"/>
        <w:tblInd w:w="120" w:type="dxa"/>
        <w:tblBorders>
          <w:top w:val="single" w:sz="5" w:color="D0D5DD"/>
          <w:left w:val="single" w:sz="5" w:color="D0D5DD"/>
          <w:bottom w:val="single" w:sz="5" w:color="D0D5DD"/>
          <w:right w:val="single" w:sz="5" w:color="D0D5DD"/>
          <w:insideH w:val="single" w:sz="5" w:color="D0D5DD"/>
          <w:insideV w:val="single" w:sz="5" w:color="D0D5DD"/>
        </w:tblBorders>
      </w:tblPr>
      <w:tblGrid>
        <w:gridCol w:w="1900"/>
        <w:gridCol w:w="7460"/>
      </w:tblGrid>
      <w:tr>
        <w:trPr>
          <w:tblHeader w:val="true"/>
        </w:trPr>
        <w:tc>
          <w:tcPr>
            <w:tcW w:type="dxa" w:w="1900"/>
            <w:vAlign w:val="center"/>
            <w:tcMar>
              <w:top w:w="80" w:type="dxa"/>
              <w:start w:w="120" w:type="dxa"/>
              <w:bottom w:w="80" w:type="dxa"/>
              <w:end w:w="120" w:type="dxa"/>
            </w:tcMar>
            <w:shd w:fill="F2F4F7"/>
          </w:tcPr>
          <w:p>
            <w:pPr>
              <w:widowControl/>
              <w:spacing w:after="0"/>
            </w:pPr>
            <w:r>
              <w:rPr>
                <w:rFonts w:ascii="Calibri" w:hAnsi="Calibri"/>
                <w:b/>
                <w:i w:val="0"/>
                <w:color w:val="0B2545"/>
                <w:sz w:val="18"/>
              </w:rPr>
              <w:t>Layer</w:t>
            </w:r>
          </w:p>
        </w:tc>
        <w:tc>
          <w:tcPr>
            <w:tcW w:type="dxa" w:w="7460"/>
            <w:vAlign w:val="center"/>
            <w:tcMar>
              <w:top w:w="80" w:type="dxa"/>
              <w:start w:w="120" w:type="dxa"/>
              <w:bottom w:w="80" w:type="dxa"/>
              <w:end w:w="120" w:type="dxa"/>
            </w:tcMar>
            <w:shd w:fill="F2F4F7"/>
          </w:tcPr>
          <w:p>
            <w:pPr>
              <w:widowControl/>
              <w:spacing w:after="0"/>
            </w:pPr>
            <w:r>
              <w:rPr>
                <w:rFonts w:ascii="Calibri" w:hAnsi="Calibri"/>
                <w:b/>
                <w:i w:val="0"/>
                <w:color w:val="0B2545"/>
                <w:sz w:val="18"/>
              </w:rPr>
              <w:t>Recommended capability</w:t>
            </w:r>
          </w:p>
        </w:tc>
      </w:tr>
      <w:tr>
        <w:tc>
          <w:tcPr>
            <w:tcW w:type="dxa" w:w="1900"/>
          </w:tcPr>
          <w:p>
            <w:pPr>
              <w:widowControl/>
              <w:spacing w:after="0"/>
            </w:pPr>
            <w:r>
              <w:rPr>
                <w:rFonts w:ascii="Calibri" w:hAnsi="Calibri"/>
                <w:b w:val="0"/>
                <w:i w:val="0"/>
                <w:color w:val="172B4D"/>
                <w:sz w:val="18"/>
              </w:rPr>
              <w:t>Web application</w:t>
            </w:r>
          </w:p>
        </w:tc>
        <w:tc>
          <w:tcPr>
            <w:tcW w:type="dxa" w:w="7460"/>
          </w:tcPr>
          <w:p>
            <w:pPr>
              <w:widowControl/>
              <w:spacing w:after="0"/>
            </w:pPr>
            <w:r>
              <w:rPr>
                <w:rFonts w:ascii="Calibri" w:hAnsi="Calibri"/>
                <w:b w:val="0"/>
                <w:i w:val="0"/>
                <w:color w:val="172B4D"/>
                <w:sz w:val="18"/>
              </w:rPr>
              <w:t>Modern responsive React/Next.js-style client, accessible component library and real-time updates.</w:t>
            </w:r>
          </w:p>
        </w:tc>
      </w:tr>
      <w:tr>
        <w:tc>
          <w:tcPr>
            <w:tcW w:type="dxa" w:w="1900"/>
          </w:tcPr>
          <w:p>
            <w:pPr>
              <w:widowControl/>
              <w:spacing w:after="0"/>
            </w:pPr>
            <w:r>
              <w:rPr>
                <w:rFonts w:ascii="Calibri" w:hAnsi="Calibri"/>
                <w:b w:val="0"/>
                <w:i w:val="0"/>
                <w:color w:val="172B4D"/>
                <w:sz w:val="18"/>
              </w:rPr>
              <w:t>Core API</w:t>
            </w:r>
          </w:p>
        </w:tc>
        <w:tc>
          <w:tcPr>
            <w:tcW w:type="dxa" w:w="7460"/>
          </w:tcPr>
          <w:p>
            <w:pPr>
              <w:widowControl/>
              <w:spacing w:after="0"/>
            </w:pPr>
            <w:r>
              <w:rPr>
                <w:rFonts w:ascii="Calibri" w:hAnsi="Calibri"/>
                <w:b w:val="0"/>
                <w:i w:val="0"/>
                <w:color w:val="172B4D"/>
                <w:sz w:val="18"/>
              </w:rPr>
              <w:t>Typed service layer with tenant-aware authorisation; REST for broad compatibility and events/webhooks for workflow.</w:t>
            </w:r>
          </w:p>
        </w:tc>
      </w:tr>
      <w:tr>
        <w:tc>
          <w:tcPr>
            <w:tcW w:type="dxa" w:w="1900"/>
          </w:tcPr>
          <w:p>
            <w:pPr>
              <w:widowControl/>
              <w:spacing w:after="0"/>
            </w:pPr>
            <w:r>
              <w:rPr>
                <w:rFonts w:ascii="Calibri" w:hAnsi="Calibri"/>
                <w:b w:val="0"/>
                <w:i w:val="0"/>
                <w:color w:val="172B4D"/>
                <w:sz w:val="18"/>
              </w:rPr>
              <w:t>Transactional store</w:t>
            </w:r>
          </w:p>
        </w:tc>
        <w:tc>
          <w:tcPr>
            <w:tcW w:type="dxa" w:w="7460"/>
          </w:tcPr>
          <w:p>
            <w:pPr>
              <w:widowControl/>
              <w:spacing w:after="0"/>
            </w:pPr>
            <w:r>
              <w:rPr>
                <w:rFonts w:ascii="Calibri" w:hAnsi="Calibri"/>
                <w:b w:val="0"/>
                <w:i w:val="0"/>
                <w:color w:val="172B4D"/>
                <w:sz w:val="18"/>
              </w:rPr>
              <w:t>Relational database with tenant keys, row-level controls and reliable workflow transactions.</w:t>
            </w:r>
          </w:p>
        </w:tc>
      </w:tr>
      <w:tr>
        <w:tc>
          <w:tcPr>
            <w:tcW w:type="dxa" w:w="1900"/>
          </w:tcPr>
          <w:p>
            <w:pPr>
              <w:widowControl/>
              <w:spacing w:after="0"/>
            </w:pPr>
            <w:r>
              <w:rPr>
                <w:rFonts w:ascii="Calibri" w:hAnsi="Calibri"/>
                <w:b w:val="0"/>
                <w:i w:val="0"/>
                <w:color w:val="172B4D"/>
                <w:sz w:val="18"/>
              </w:rPr>
              <w:t>Search</w:t>
            </w:r>
          </w:p>
        </w:tc>
        <w:tc>
          <w:tcPr>
            <w:tcW w:type="dxa" w:w="7460"/>
          </w:tcPr>
          <w:p>
            <w:pPr>
              <w:widowControl/>
              <w:spacing w:after="0"/>
            </w:pPr>
            <w:r>
              <w:rPr>
                <w:rFonts w:ascii="Calibri" w:hAnsi="Calibri"/>
                <w:b w:val="0"/>
                <w:i w:val="0"/>
                <w:color w:val="172B4D"/>
                <w:sz w:val="18"/>
              </w:rPr>
              <w:t>OpenSearch/Elasticsearch-compatible full-text, faceting and vector retrieval.</w:t>
            </w:r>
          </w:p>
        </w:tc>
      </w:tr>
      <w:tr>
        <w:tc>
          <w:tcPr>
            <w:tcW w:type="dxa" w:w="1900"/>
          </w:tcPr>
          <w:p>
            <w:pPr>
              <w:widowControl/>
              <w:spacing w:after="0"/>
            </w:pPr>
            <w:r>
              <w:rPr>
                <w:rFonts w:ascii="Calibri" w:hAnsi="Calibri"/>
                <w:b w:val="0"/>
                <w:i w:val="0"/>
                <w:color w:val="172B4D"/>
                <w:sz w:val="18"/>
              </w:rPr>
              <w:t>Eventing</w:t>
            </w:r>
          </w:p>
        </w:tc>
        <w:tc>
          <w:tcPr>
            <w:tcW w:type="dxa" w:w="7460"/>
          </w:tcPr>
          <w:p>
            <w:pPr>
              <w:widowControl/>
              <w:spacing w:after="0"/>
            </w:pPr>
            <w:r>
              <w:rPr>
                <w:rFonts w:ascii="Calibri" w:hAnsi="Calibri"/>
                <w:b w:val="0"/>
                <w:i w:val="0"/>
                <w:color w:val="172B4D"/>
                <w:sz w:val="18"/>
              </w:rPr>
              <w:t>Durable queue/stream for ingestion, enrichment, notifications and publishing jobs.</w:t>
            </w:r>
          </w:p>
        </w:tc>
      </w:tr>
      <w:tr>
        <w:tc>
          <w:tcPr>
            <w:tcW w:type="dxa" w:w="1900"/>
          </w:tcPr>
          <w:p>
            <w:pPr>
              <w:widowControl/>
              <w:spacing w:after="0"/>
            </w:pPr>
            <w:r>
              <w:rPr>
                <w:rFonts w:ascii="Calibri" w:hAnsi="Calibri"/>
                <w:b w:val="0"/>
                <w:i w:val="0"/>
                <w:color w:val="172B4D"/>
                <w:sz w:val="18"/>
              </w:rPr>
              <w:t>Analytics</w:t>
            </w:r>
          </w:p>
        </w:tc>
        <w:tc>
          <w:tcPr>
            <w:tcW w:type="dxa" w:w="7460"/>
          </w:tcPr>
          <w:p>
            <w:pPr>
              <w:widowControl/>
              <w:spacing w:after="0"/>
            </w:pPr>
            <w:r>
              <w:rPr>
                <w:rFonts w:ascii="Calibri" w:hAnsi="Calibri"/>
                <w:b w:val="0"/>
                <w:i w:val="0"/>
                <w:color w:val="172B4D"/>
                <w:sz w:val="18"/>
              </w:rPr>
              <w:t>Columnar warehouse or managed analytics engine for time-series and high-volume aggregates.</w:t>
            </w:r>
          </w:p>
        </w:tc>
      </w:tr>
      <w:tr>
        <w:tc>
          <w:tcPr>
            <w:tcW w:type="dxa" w:w="1900"/>
          </w:tcPr>
          <w:p>
            <w:pPr>
              <w:widowControl/>
              <w:spacing w:after="0"/>
            </w:pPr>
            <w:r>
              <w:rPr>
                <w:rFonts w:ascii="Calibri" w:hAnsi="Calibri"/>
                <w:b w:val="0"/>
                <w:i w:val="0"/>
                <w:color w:val="172B4D"/>
                <w:sz w:val="18"/>
              </w:rPr>
              <w:t>Objects</w:t>
            </w:r>
          </w:p>
        </w:tc>
        <w:tc>
          <w:tcPr>
            <w:tcW w:type="dxa" w:w="7460"/>
          </w:tcPr>
          <w:p>
            <w:pPr>
              <w:widowControl/>
              <w:spacing w:after="0"/>
            </w:pPr>
            <w:r>
              <w:rPr>
                <w:rFonts w:ascii="Calibri" w:hAnsi="Calibri"/>
                <w:b w:val="0"/>
                <w:i w:val="0"/>
                <w:color w:val="172B4D"/>
                <w:sz w:val="18"/>
              </w:rPr>
              <w:t>Encrypted object storage for permitted media, exports, report files and evidence snapshots.</w:t>
            </w:r>
          </w:p>
        </w:tc>
      </w:tr>
      <w:tr>
        <w:tc>
          <w:tcPr>
            <w:tcW w:type="dxa" w:w="1900"/>
          </w:tcPr>
          <w:p>
            <w:pPr>
              <w:widowControl/>
              <w:spacing w:after="0"/>
            </w:pPr>
            <w:r>
              <w:rPr>
                <w:rFonts w:ascii="Calibri" w:hAnsi="Calibri"/>
                <w:b w:val="0"/>
                <w:i w:val="0"/>
                <w:color w:val="172B4D"/>
                <w:sz w:val="18"/>
              </w:rPr>
              <w:t>AI</w:t>
            </w:r>
          </w:p>
        </w:tc>
        <w:tc>
          <w:tcPr>
            <w:tcW w:type="dxa" w:w="7460"/>
          </w:tcPr>
          <w:p>
            <w:pPr>
              <w:widowControl/>
              <w:spacing w:after="0"/>
            </w:pPr>
            <w:r>
              <w:rPr>
                <w:rFonts w:ascii="Calibri" w:hAnsi="Calibri"/>
                <w:b w:val="0"/>
                <w:i w:val="0"/>
                <w:color w:val="172B4D"/>
                <w:sz w:val="18"/>
              </w:rPr>
              <w:t>Model gateway supporting multiple providers, prompt/version registry, retrieval, evaluation and redaction.</w:t>
            </w:r>
          </w:p>
        </w:tc>
      </w:tr>
      <w:tr>
        <w:tc>
          <w:tcPr>
            <w:tcW w:type="dxa" w:w="1900"/>
          </w:tcPr>
          <w:p>
            <w:pPr>
              <w:widowControl/>
              <w:spacing w:after="0"/>
            </w:pPr>
            <w:r>
              <w:rPr>
                <w:rFonts w:ascii="Calibri" w:hAnsi="Calibri"/>
                <w:b w:val="0"/>
                <w:i w:val="0"/>
                <w:color w:val="172B4D"/>
                <w:sz w:val="18"/>
              </w:rPr>
              <w:t>Observability</w:t>
            </w:r>
          </w:p>
        </w:tc>
        <w:tc>
          <w:tcPr>
            <w:tcW w:type="dxa" w:w="7460"/>
          </w:tcPr>
          <w:p>
            <w:pPr>
              <w:widowControl/>
              <w:spacing w:after="0"/>
            </w:pPr>
            <w:r>
              <w:rPr>
                <w:rFonts w:ascii="Calibri" w:hAnsi="Calibri"/>
                <w:b w:val="0"/>
                <w:i w:val="0"/>
                <w:color w:val="172B4D"/>
                <w:sz w:val="18"/>
              </w:rPr>
              <w:t>Central logs, traces, metrics, connector health, job replay and tenant usage metering.</w:t>
            </w:r>
          </w:p>
        </w:tc>
      </w:tr>
    </w:tbl>
    <w:p>
      <w:pPr>
        <w:widowControl/>
        <w:spacing w:after="0"/>
      </w:pPr>
    </w:p>
    <w:p>
      <w:pPr>
        <w:pStyle w:val="Heading1"/>
        <w:pageBreakBefore/>
        <w:widowControl/>
      </w:pPr>
      <w:r>
        <w:t>12. Integrations and source strategy</w:t>
      </w:r>
    </w:p>
    <w:tbl>
      <w:tblPr>
        <w:tblW w:type="dxa" w:w="9360"/>
        <w:jc w:val="left"/>
        <w:tblLayout w:type="fixed"/>
        <w:tblLook w:firstColumn="1" w:firstRow="1" w:lastColumn="0" w:lastRow="0" w:noHBand="0" w:noVBand="1" w:val="04A0"/>
        <w:tblInd w:w="120" w:type="dxa"/>
        <w:tblBorders>
          <w:top w:val="single" w:sz="5" w:color="D0D5DD"/>
          <w:left w:val="single" w:sz="5" w:color="D0D5DD"/>
          <w:bottom w:val="single" w:sz="5" w:color="D0D5DD"/>
          <w:right w:val="single" w:sz="5" w:color="D0D5DD"/>
          <w:insideH w:val="single" w:sz="5" w:color="D0D5DD"/>
          <w:insideV w:val="single" w:sz="5" w:color="D0D5DD"/>
        </w:tblBorders>
      </w:tblPr>
      <w:tblGrid>
        <w:gridCol w:w="1600"/>
        <w:gridCol w:w="4000"/>
        <w:gridCol w:w="3760"/>
      </w:tblGrid>
      <w:tr>
        <w:trPr>
          <w:tblHeader w:val="true"/>
        </w:trPr>
        <w:tc>
          <w:tcPr>
            <w:tcW w:type="dxa" w:w="1600"/>
            <w:vAlign w:val="center"/>
            <w:tcMar>
              <w:top w:w="80" w:type="dxa"/>
              <w:start w:w="120" w:type="dxa"/>
              <w:bottom w:w="80" w:type="dxa"/>
              <w:end w:w="120" w:type="dxa"/>
            </w:tcMar>
            <w:shd w:fill="F2F4F7"/>
          </w:tcPr>
          <w:p>
            <w:pPr>
              <w:widowControl/>
              <w:spacing w:after="0"/>
            </w:pPr>
            <w:r>
              <w:rPr>
                <w:rFonts w:ascii="Calibri" w:hAnsi="Calibri"/>
                <w:b/>
                <w:i w:val="0"/>
                <w:color w:val="0B2545"/>
                <w:sz w:val="18"/>
              </w:rPr>
              <w:t>Tier</w:t>
            </w:r>
          </w:p>
        </w:tc>
        <w:tc>
          <w:tcPr>
            <w:tcW w:type="dxa" w:w="4000"/>
            <w:vAlign w:val="center"/>
            <w:tcMar>
              <w:top w:w="80" w:type="dxa"/>
              <w:start w:w="120" w:type="dxa"/>
              <w:bottom w:w="80" w:type="dxa"/>
              <w:end w:w="120" w:type="dxa"/>
            </w:tcMar>
            <w:shd w:fill="F2F4F7"/>
          </w:tcPr>
          <w:p>
            <w:pPr>
              <w:widowControl/>
              <w:spacing w:after="0"/>
            </w:pPr>
            <w:r>
              <w:rPr>
                <w:rFonts w:ascii="Calibri" w:hAnsi="Calibri"/>
                <w:b/>
                <w:i w:val="0"/>
                <w:color w:val="0B2545"/>
                <w:sz w:val="18"/>
              </w:rPr>
              <w:t>Connector strategy</w:t>
            </w:r>
          </w:p>
        </w:tc>
        <w:tc>
          <w:tcPr>
            <w:tcW w:type="dxa" w:w="3760"/>
            <w:vAlign w:val="center"/>
            <w:tcMar>
              <w:top w:w="80" w:type="dxa"/>
              <w:start w:w="120" w:type="dxa"/>
              <w:bottom w:w="80" w:type="dxa"/>
              <w:end w:w="120" w:type="dxa"/>
            </w:tcMar>
            <w:shd w:fill="F2F4F7"/>
          </w:tcPr>
          <w:p>
            <w:pPr>
              <w:widowControl/>
              <w:spacing w:after="0"/>
            </w:pPr>
            <w:r>
              <w:rPr>
                <w:rFonts w:ascii="Calibri" w:hAnsi="Calibri"/>
                <w:b/>
                <w:i w:val="0"/>
                <w:color w:val="0B2545"/>
                <w:sz w:val="18"/>
              </w:rPr>
              <w:t>Examples</w:t>
            </w:r>
          </w:p>
        </w:tc>
      </w:tr>
      <w:tr>
        <w:tc>
          <w:tcPr>
            <w:tcW w:type="dxa" w:w="1600"/>
          </w:tcPr>
          <w:p>
            <w:pPr>
              <w:widowControl/>
              <w:spacing w:after="0"/>
            </w:pPr>
            <w:r>
              <w:rPr>
                <w:rFonts w:ascii="Calibri" w:hAnsi="Calibri"/>
                <w:b w:val="0"/>
                <w:i w:val="0"/>
                <w:color w:val="172B4D"/>
                <w:sz w:val="18"/>
              </w:rPr>
              <w:t>Tier 1: owned social</w:t>
            </w:r>
          </w:p>
        </w:tc>
        <w:tc>
          <w:tcPr>
            <w:tcW w:type="dxa" w:w="4000"/>
          </w:tcPr>
          <w:p>
            <w:pPr>
              <w:widowControl/>
              <w:spacing w:after="0"/>
            </w:pPr>
            <w:r>
              <w:rPr>
                <w:rFonts w:ascii="Calibri" w:hAnsi="Calibri"/>
                <w:b w:val="0"/>
                <w:i w:val="0"/>
                <w:color w:val="172B4D"/>
                <w:sz w:val="18"/>
              </w:rPr>
              <w:t>Official account APIs with OAuth, webhooks and periodic reconciliation.</w:t>
            </w:r>
          </w:p>
        </w:tc>
        <w:tc>
          <w:tcPr>
            <w:tcW w:type="dxa" w:w="3760"/>
          </w:tcPr>
          <w:p>
            <w:pPr>
              <w:widowControl/>
              <w:spacing w:after="0"/>
            </w:pPr>
            <w:r>
              <w:rPr>
                <w:rFonts w:ascii="Calibri" w:hAnsi="Calibri"/>
                <w:b w:val="0"/>
                <w:i w:val="0"/>
                <w:color w:val="172B4D"/>
                <w:sz w:val="18"/>
              </w:rPr>
              <w:t>Facebook Pages, Instagram Professional, LinkedIn Pages, YouTube; add TikTok and X according to approval, cost and product need.</w:t>
            </w:r>
          </w:p>
        </w:tc>
      </w:tr>
      <w:tr>
        <w:tc>
          <w:tcPr>
            <w:tcW w:type="dxa" w:w="1600"/>
          </w:tcPr>
          <w:p>
            <w:pPr>
              <w:widowControl/>
              <w:spacing w:after="0"/>
            </w:pPr>
            <w:r>
              <w:rPr>
                <w:rFonts w:ascii="Calibri" w:hAnsi="Calibri"/>
                <w:b w:val="0"/>
                <w:i w:val="0"/>
                <w:color w:val="172B4D"/>
                <w:sz w:val="18"/>
              </w:rPr>
              <w:t>Tier 2: earned media</w:t>
            </w:r>
          </w:p>
        </w:tc>
        <w:tc>
          <w:tcPr>
            <w:tcW w:type="dxa" w:w="4000"/>
          </w:tcPr>
          <w:p>
            <w:pPr>
              <w:widowControl/>
              <w:spacing w:after="0"/>
            </w:pPr>
            <w:r>
              <w:rPr>
                <w:rFonts w:ascii="Calibri" w:hAnsi="Calibri"/>
                <w:b w:val="0"/>
                <w:i w:val="0"/>
                <w:color w:val="172B4D"/>
                <w:sz w:val="18"/>
              </w:rPr>
              <w:t>License one or more media-data providers; supplement with curated RSS/direct agreements.</w:t>
            </w:r>
          </w:p>
        </w:tc>
        <w:tc>
          <w:tcPr>
            <w:tcW w:type="dxa" w:w="3760"/>
          </w:tcPr>
          <w:p>
            <w:pPr>
              <w:widowControl/>
              <w:spacing w:after="0"/>
            </w:pPr>
            <w:r>
              <w:rPr>
                <w:rFonts w:ascii="Calibri" w:hAnsi="Calibri"/>
                <w:b w:val="0"/>
                <w:i w:val="0"/>
                <w:color w:val="172B4D"/>
                <w:sz w:val="18"/>
              </w:rPr>
              <w:t>Online news first; broadcast, print and podcasts added by territory and client package.</w:t>
            </w:r>
          </w:p>
        </w:tc>
      </w:tr>
      <w:tr>
        <w:tc>
          <w:tcPr>
            <w:tcW w:type="dxa" w:w="1600"/>
          </w:tcPr>
          <w:p>
            <w:pPr>
              <w:widowControl/>
              <w:spacing w:after="0"/>
            </w:pPr>
            <w:r>
              <w:rPr>
                <w:rFonts w:ascii="Calibri" w:hAnsi="Calibri"/>
                <w:b w:val="0"/>
                <w:i w:val="0"/>
                <w:color w:val="172B4D"/>
                <w:sz w:val="18"/>
              </w:rPr>
              <w:t>Tier 3: open web</w:t>
            </w:r>
          </w:p>
        </w:tc>
        <w:tc>
          <w:tcPr>
            <w:tcW w:type="dxa" w:w="4000"/>
          </w:tcPr>
          <w:p>
            <w:pPr>
              <w:widowControl/>
              <w:spacing w:after="0"/>
            </w:pPr>
            <w:r>
              <w:rPr>
                <w:rFonts w:ascii="Calibri" w:hAnsi="Calibri"/>
                <w:b w:val="0"/>
                <w:i w:val="0"/>
                <w:color w:val="172B4D"/>
                <w:sz w:val="18"/>
              </w:rPr>
              <w:t>Policy-compliant crawl/RSS for selected public sites where terms and robots rules allow.</w:t>
            </w:r>
          </w:p>
        </w:tc>
        <w:tc>
          <w:tcPr>
            <w:tcW w:type="dxa" w:w="3760"/>
          </w:tcPr>
          <w:p>
            <w:pPr>
              <w:widowControl/>
              <w:spacing w:after="0"/>
            </w:pPr>
            <w:r>
              <w:rPr>
                <w:rFonts w:ascii="Calibri" w:hAnsi="Calibri"/>
                <w:b w:val="0"/>
                <w:i w:val="0"/>
                <w:color w:val="172B4D"/>
                <w:sz w:val="18"/>
              </w:rPr>
              <w:t>Blogs, forums, government notices, selected review sources.</w:t>
            </w:r>
          </w:p>
        </w:tc>
      </w:tr>
      <w:tr>
        <w:tc>
          <w:tcPr>
            <w:tcW w:type="dxa" w:w="1600"/>
          </w:tcPr>
          <w:p>
            <w:pPr>
              <w:widowControl/>
              <w:spacing w:after="0"/>
            </w:pPr>
            <w:r>
              <w:rPr>
                <w:rFonts w:ascii="Calibri" w:hAnsi="Calibri"/>
                <w:b w:val="0"/>
                <w:i w:val="0"/>
                <w:color w:val="172B4D"/>
                <w:sz w:val="18"/>
              </w:rPr>
              <w:t>Tier 4: first-party</w:t>
            </w:r>
          </w:p>
        </w:tc>
        <w:tc>
          <w:tcPr>
            <w:tcW w:type="dxa" w:w="4000"/>
          </w:tcPr>
          <w:p>
            <w:pPr>
              <w:widowControl/>
              <w:spacing w:after="0"/>
            </w:pPr>
            <w:r>
              <w:rPr>
                <w:rFonts w:ascii="Calibri" w:hAnsi="Calibri"/>
                <w:b w:val="0"/>
                <w:i w:val="0"/>
                <w:color w:val="172B4D"/>
                <w:sz w:val="18"/>
              </w:rPr>
              <w:t>Secure imports and APIs with explicit schema and retention.</w:t>
            </w:r>
          </w:p>
        </w:tc>
        <w:tc>
          <w:tcPr>
            <w:tcW w:type="dxa" w:w="3760"/>
          </w:tcPr>
          <w:p>
            <w:pPr>
              <w:widowControl/>
              <w:spacing w:after="0"/>
            </w:pPr>
            <w:r>
              <w:rPr>
                <w:rFonts w:ascii="Calibri" w:hAnsi="Calibri"/>
                <w:b w:val="0"/>
                <w:i w:val="0"/>
                <w:color w:val="172B4D"/>
                <w:sz w:val="18"/>
              </w:rPr>
              <w:t>Surveys, call-centre transcripts, CRM cases, web analytics and campaign spend.</w:t>
            </w:r>
          </w:p>
        </w:tc>
      </w:tr>
      <w:tr>
        <w:tc>
          <w:tcPr>
            <w:tcW w:type="dxa" w:w="1600"/>
          </w:tcPr>
          <w:p>
            <w:pPr>
              <w:widowControl/>
              <w:spacing w:after="0"/>
            </w:pPr>
            <w:r>
              <w:rPr>
                <w:rFonts w:ascii="Calibri" w:hAnsi="Calibri"/>
                <w:b w:val="0"/>
                <w:i w:val="0"/>
                <w:color w:val="172B4D"/>
                <w:sz w:val="18"/>
              </w:rPr>
              <w:t>Tier 5: collaboration / BI</w:t>
            </w:r>
          </w:p>
        </w:tc>
        <w:tc>
          <w:tcPr>
            <w:tcW w:type="dxa" w:w="4000"/>
          </w:tcPr>
          <w:p>
            <w:pPr>
              <w:widowControl/>
              <w:spacing w:after="0"/>
            </w:pPr>
            <w:r>
              <w:rPr>
                <w:rFonts w:ascii="Calibri" w:hAnsi="Calibri"/>
                <w:b w:val="0"/>
                <w:i w:val="0"/>
                <w:color w:val="172B4D"/>
                <w:sz w:val="18"/>
              </w:rPr>
              <w:t>Outbound webhooks and packaged integrations.</w:t>
            </w:r>
          </w:p>
        </w:tc>
        <w:tc>
          <w:tcPr>
            <w:tcW w:type="dxa" w:w="3760"/>
          </w:tcPr>
          <w:p>
            <w:pPr>
              <w:widowControl/>
              <w:spacing w:after="0"/>
            </w:pPr>
            <w:r>
              <w:rPr>
                <w:rFonts w:ascii="Calibri" w:hAnsi="Calibri"/>
                <w:b w:val="0"/>
                <w:i w:val="0"/>
                <w:color w:val="172B4D"/>
                <w:sz w:val="18"/>
              </w:rPr>
              <w:t>Email, Microsoft Teams, Slack, Power BI, Tableau, Looker Studio, cloud storage.</w:t>
            </w:r>
          </w:p>
        </w:tc>
      </w:tr>
    </w:tbl>
    <w:p>
      <w:pPr>
        <w:widowControl/>
        <w:spacing w:after="0"/>
      </w:pPr>
    </w:p>
    <w:p>
      <w:pPr>
        <w:pStyle w:val="Heading2"/>
        <w:widowControl/>
      </w:pPr>
      <w:r>
        <w:t>12.1 Platform realities the build must respect</w:t>
      </w:r>
    </w:p>
    <w:p>
      <w:pPr>
        <w:pStyle w:val="ListBullet"/>
        <w:widowControl/>
      </w:pPr>
      <w:r>
        <w:rPr>
          <w:rFonts w:ascii="Calibri" w:hAnsi="Calibri"/>
          <w:b w:val="0"/>
          <w:i w:val="0"/>
          <w:color w:val="172B4D"/>
          <w:sz w:val="22"/>
        </w:rPr>
        <w:t>Social APIs differ in which comments, messages, public mentions, competitor posts and historical metrics they expose.</w:t>
      </w:r>
    </w:p>
    <w:p>
      <w:pPr>
        <w:pStyle w:val="ListBullet"/>
        <w:widowControl/>
      </w:pPr>
      <w:r>
        <w:rPr>
          <w:rFonts w:ascii="Calibri" w:hAnsi="Calibri"/>
          <w:b w:val="0"/>
          <w:i w:val="0"/>
          <w:color w:val="172B4D"/>
          <w:sz w:val="22"/>
        </w:rPr>
        <w:t>Publishing formats and validation rules vary by network; some features available in native apps are unavailable by API.</w:t>
      </w:r>
    </w:p>
    <w:p>
      <w:pPr>
        <w:pStyle w:val="ListBullet"/>
        <w:widowControl/>
      </w:pPr>
      <w:r>
        <w:rPr>
          <w:rFonts w:ascii="Calibri" w:hAnsi="Calibri"/>
          <w:b w:val="0"/>
          <w:i w:val="0"/>
          <w:color w:val="172B4D"/>
          <w:sz w:val="22"/>
        </w:rPr>
        <w:t>Tokens expire, permissions are revoked, rate limits change and app reviews can delay launch.</w:t>
      </w:r>
    </w:p>
    <w:p>
      <w:pPr>
        <w:pStyle w:val="ListBullet"/>
        <w:widowControl/>
      </w:pPr>
      <w:r>
        <w:rPr>
          <w:rFonts w:ascii="Calibri" w:hAnsi="Calibri"/>
          <w:b w:val="0"/>
          <w:i w:val="0"/>
          <w:color w:val="172B4D"/>
          <w:sz w:val="22"/>
        </w:rPr>
        <w:t>Historical social data should be captured continuously where terms permit; backfill may be limited.</w:t>
      </w:r>
    </w:p>
    <w:p>
      <w:pPr>
        <w:pStyle w:val="ListBullet"/>
        <w:widowControl/>
      </w:pPr>
      <w:r>
        <w:rPr>
          <w:rFonts w:ascii="Calibri" w:hAnsi="Calibri"/>
          <w:b w:val="0"/>
          <w:i w:val="0"/>
          <w:color w:val="172B4D"/>
          <w:sz w:val="22"/>
        </w:rPr>
        <w:t>News, print and broadcast full text is often licensed. The archive must enforce provider-specific display and retention rights.</w:t>
      </w:r>
    </w:p>
    <w:p>
      <w:pPr>
        <w:pStyle w:val="ListBullet"/>
        <w:widowControl/>
      </w:pPr>
      <w:r>
        <w:rPr>
          <w:rFonts w:ascii="Calibri" w:hAnsi="Calibri"/>
          <w:b w:val="0"/>
          <w:i w:val="0"/>
          <w:color w:val="172B4D"/>
          <w:sz w:val="22"/>
        </w:rPr>
        <w:t>A connector capability registry should tell the UI what is possible per network, account and entitlement instead of showing actions that will fail.</w:t>
      </w:r>
    </w:p>
    <w:p>
      <w:pPr>
        <w:pStyle w:val="Heading1"/>
        <w:pageBreakBefore/>
        <w:widowControl/>
      </w:pPr>
      <w:r>
        <w:t>13. AI and analytical governance</w:t>
      </w:r>
    </w:p>
    <w:tbl>
      <w:tblPr>
        <w:tblW w:type="dxa" w:w="9360"/>
        <w:jc w:val="left"/>
        <w:tblLayout w:type="fixed"/>
        <w:tblLook w:firstColumn="1" w:firstRow="1" w:lastColumn="0" w:lastRow="0" w:noHBand="0" w:noVBand="1" w:val="04A0"/>
        <w:tblInd w:w="120" w:type="dxa"/>
        <w:tblBorders>
          <w:top w:val="single" w:sz="5" w:color="D0D5DD"/>
          <w:left w:val="single" w:sz="5" w:color="D0D5DD"/>
          <w:bottom w:val="single" w:sz="5" w:color="D0D5DD"/>
          <w:right w:val="single" w:sz="5" w:color="D0D5DD"/>
          <w:insideH w:val="single" w:sz="5" w:color="D0D5DD"/>
          <w:insideV w:val="single" w:sz="5" w:color="D0D5DD"/>
        </w:tblBorders>
      </w:tblPr>
      <w:tblGrid>
        <w:gridCol w:w="2200"/>
        <w:gridCol w:w="7160"/>
      </w:tblGrid>
      <w:tr>
        <w:trPr>
          <w:tblHeader w:val="true"/>
        </w:trPr>
        <w:tc>
          <w:tcPr>
            <w:tcW w:type="dxa" w:w="2200"/>
            <w:vAlign w:val="center"/>
            <w:tcMar>
              <w:top w:w="80" w:type="dxa"/>
              <w:start w:w="120" w:type="dxa"/>
              <w:bottom w:w="80" w:type="dxa"/>
              <w:end w:w="120" w:type="dxa"/>
            </w:tcMar>
            <w:shd w:fill="F2F4F7"/>
          </w:tcPr>
          <w:p>
            <w:pPr>
              <w:widowControl/>
              <w:spacing w:after="0"/>
            </w:pPr>
            <w:r>
              <w:rPr>
                <w:rFonts w:ascii="Calibri" w:hAnsi="Calibri"/>
                <w:b/>
                <w:i w:val="0"/>
                <w:color w:val="0B2545"/>
                <w:sz w:val="18"/>
              </w:rPr>
              <w:t>AI function</w:t>
            </w:r>
          </w:p>
        </w:tc>
        <w:tc>
          <w:tcPr>
            <w:tcW w:type="dxa" w:w="7160"/>
            <w:vAlign w:val="center"/>
            <w:tcMar>
              <w:top w:w="80" w:type="dxa"/>
              <w:start w:w="120" w:type="dxa"/>
              <w:bottom w:w="80" w:type="dxa"/>
              <w:end w:w="120" w:type="dxa"/>
            </w:tcMar>
            <w:shd w:fill="F2F4F7"/>
          </w:tcPr>
          <w:p>
            <w:pPr>
              <w:widowControl/>
              <w:spacing w:after="0"/>
            </w:pPr>
            <w:r>
              <w:rPr>
                <w:rFonts w:ascii="Calibri" w:hAnsi="Calibri"/>
                <w:b/>
                <w:i w:val="0"/>
                <w:color w:val="0B2545"/>
                <w:sz w:val="18"/>
              </w:rPr>
              <w:t>Guardrail</w:t>
            </w:r>
          </w:p>
        </w:tc>
      </w:tr>
      <w:tr>
        <w:tc>
          <w:tcPr>
            <w:tcW w:type="dxa" w:w="2200"/>
          </w:tcPr>
          <w:p>
            <w:pPr>
              <w:widowControl/>
              <w:spacing w:after="0"/>
            </w:pPr>
            <w:r>
              <w:rPr>
                <w:rFonts w:ascii="Calibri" w:hAnsi="Calibri"/>
                <w:b w:val="0"/>
                <w:i w:val="0"/>
                <w:color w:val="172B4D"/>
                <w:sz w:val="18"/>
              </w:rPr>
              <w:t>Summarisation</w:t>
            </w:r>
          </w:p>
        </w:tc>
        <w:tc>
          <w:tcPr>
            <w:tcW w:type="dxa" w:w="7160"/>
          </w:tcPr>
          <w:p>
            <w:pPr>
              <w:widowControl/>
              <w:spacing w:after="0"/>
            </w:pPr>
            <w:r>
              <w:rPr>
                <w:rFonts w:ascii="Calibri" w:hAnsi="Calibri"/>
                <w:b w:val="0"/>
                <w:i w:val="0"/>
                <w:color w:val="172B4D"/>
                <w:sz w:val="18"/>
              </w:rPr>
              <w:t>Cite source items, show period/query, separate fact from inference and expose missing coverage.</w:t>
            </w:r>
          </w:p>
        </w:tc>
      </w:tr>
      <w:tr>
        <w:tc>
          <w:tcPr>
            <w:tcW w:type="dxa" w:w="2200"/>
          </w:tcPr>
          <w:p>
            <w:pPr>
              <w:widowControl/>
              <w:spacing w:after="0"/>
            </w:pPr>
            <w:r>
              <w:rPr>
                <w:rFonts w:ascii="Calibri" w:hAnsi="Calibri"/>
                <w:b w:val="0"/>
                <w:i w:val="0"/>
                <w:color w:val="172B4D"/>
                <w:sz w:val="18"/>
              </w:rPr>
              <w:t>Sentiment/emotion</w:t>
            </w:r>
          </w:p>
        </w:tc>
        <w:tc>
          <w:tcPr>
            <w:tcW w:type="dxa" w:w="7160"/>
          </w:tcPr>
          <w:p>
            <w:pPr>
              <w:widowControl/>
              <w:spacing w:after="0"/>
            </w:pPr>
            <w:r>
              <w:rPr>
                <w:rFonts w:ascii="Calibri" w:hAnsi="Calibri"/>
                <w:b w:val="0"/>
                <w:i w:val="0"/>
                <w:color w:val="172B4D"/>
                <w:sz w:val="18"/>
              </w:rPr>
              <w:t>Display confidence; allow analyst correction; evaluate by language, source and domain.</w:t>
            </w:r>
          </w:p>
        </w:tc>
      </w:tr>
      <w:tr>
        <w:tc>
          <w:tcPr>
            <w:tcW w:type="dxa" w:w="2200"/>
          </w:tcPr>
          <w:p>
            <w:pPr>
              <w:widowControl/>
              <w:spacing w:after="0"/>
            </w:pPr>
            <w:r>
              <w:rPr>
                <w:rFonts w:ascii="Calibri" w:hAnsi="Calibri"/>
                <w:b w:val="0"/>
                <w:i w:val="0"/>
                <w:color w:val="172B4D"/>
                <w:sz w:val="18"/>
              </w:rPr>
              <w:t>Topic/narrative clustering</w:t>
            </w:r>
          </w:p>
        </w:tc>
        <w:tc>
          <w:tcPr>
            <w:tcW w:type="dxa" w:w="7160"/>
          </w:tcPr>
          <w:p>
            <w:pPr>
              <w:widowControl/>
              <w:spacing w:after="0"/>
            </w:pPr>
            <w:r>
              <w:rPr>
                <w:rFonts w:ascii="Calibri" w:hAnsi="Calibri"/>
                <w:b w:val="0"/>
                <w:i w:val="0"/>
                <w:color w:val="172B4D"/>
                <w:sz w:val="18"/>
              </w:rPr>
              <w:t>Let analysts merge, split, rename and lock clusters; retain model/version history.</w:t>
            </w:r>
          </w:p>
        </w:tc>
      </w:tr>
      <w:tr>
        <w:tc>
          <w:tcPr>
            <w:tcW w:type="dxa" w:w="2200"/>
          </w:tcPr>
          <w:p>
            <w:pPr>
              <w:widowControl/>
              <w:spacing w:after="0"/>
            </w:pPr>
            <w:r>
              <w:rPr>
                <w:rFonts w:ascii="Calibri" w:hAnsi="Calibri"/>
                <w:b w:val="0"/>
                <w:i w:val="0"/>
                <w:color w:val="172B4D"/>
                <w:sz w:val="18"/>
              </w:rPr>
              <w:t>Risk scoring</w:t>
            </w:r>
          </w:p>
        </w:tc>
        <w:tc>
          <w:tcPr>
            <w:tcW w:type="dxa" w:w="7160"/>
          </w:tcPr>
          <w:p>
            <w:pPr>
              <w:widowControl/>
              <w:spacing w:after="0"/>
            </w:pPr>
            <w:r>
              <w:rPr>
                <w:rFonts w:ascii="Calibri" w:hAnsi="Calibri"/>
                <w:b w:val="0"/>
                <w:i w:val="0"/>
                <w:color w:val="172B4D"/>
                <w:sz w:val="18"/>
              </w:rPr>
              <w:t>Use transparent weighted components; high-risk decisions require human validation.</w:t>
            </w:r>
          </w:p>
        </w:tc>
      </w:tr>
      <w:tr>
        <w:tc>
          <w:tcPr>
            <w:tcW w:type="dxa" w:w="2200"/>
          </w:tcPr>
          <w:p>
            <w:pPr>
              <w:widowControl/>
              <w:spacing w:after="0"/>
            </w:pPr>
            <w:r>
              <w:rPr>
                <w:rFonts w:ascii="Calibri" w:hAnsi="Calibri"/>
                <w:b w:val="0"/>
                <w:i w:val="0"/>
                <w:color w:val="172B4D"/>
                <w:sz w:val="18"/>
              </w:rPr>
              <w:t>Response drafting</w:t>
            </w:r>
          </w:p>
        </w:tc>
        <w:tc>
          <w:tcPr>
            <w:tcW w:type="dxa" w:w="7160"/>
          </w:tcPr>
          <w:p>
            <w:pPr>
              <w:widowControl/>
              <w:spacing w:after="0"/>
            </w:pPr>
            <w:r>
              <w:rPr>
                <w:rFonts w:ascii="Calibri" w:hAnsi="Calibri"/>
                <w:b w:val="0"/>
                <w:i w:val="0"/>
                <w:color w:val="172B4D"/>
                <w:sz w:val="18"/>
              </w:rPr>
              <w:t>Retrieve only approved facts and tone guidance; detect personal/sensitive data; require approval.</w:t>
            </w:r>
          </w:p>
        </w:tc>
      </w:tr>
      <w:tr>
        <w:tc>
          <w:tcPr>
            <w:tcW w:type="dxa" w:w="2200"/>
          </w:tcPr>
          <w:p>
            <w:pPr>
              <w:widowControl/>
              <w:spacing w:after="0"/>
            </w:pPr>
            <w:r>
              <w:rPr>
                <w:rFonts w:ascii="Calibri" w:hAnsi="Calibri"/>
                <w:b w:val="0"/>
                <w:i w:val="0"/>
                <w:color w:val="172B4D"/>
                <w:sz w:val="18"/>
              </w:rPr>
              <w:t>Report narrative</w:t>
            </w:r>
          </w:p>
        </w:tc>
        <w:tc>
          <w:tcPr>
            <w:tcW w:type="dxa" w:w="7160"/>
          </w:tcPr>
          <w:p>
            <w:pPr>
              <w:widowControl/>
              <w:spacing w:after="0"/>
            </w:pPr>
            <w:r>
              <w:rPr>
                <w:rFonts w:ascii="Calibri" w:hAnsi="Calibri"/>
                <w:b w:val="0"/>
                <w:i w:val="0"/>
                <w:color w:val="172B4D"/>
                <w:sz w:val="18"/>
              </w:rPr>
              <w:t>Bind every number to a KPI observation and data cut-off; flag conflicting or incomplete metrics.</w:t>
            </w:r>
          </w:p>
        </w:tc>
      </w:tr>
      <w:tr>
        <w:tc>
          <w:tcPr>
            <w:tcW w:type="dxa" w:w="2200"/>
          </w:tcPr>
          <w:p>
            <w:pPr>
              <w:widowControl/>
              <w:spacing w:after="0"/>
            </w:pPr>
            <w:r>
              <w:rPr>
                <w:rFonts w:ascii="Calibri" w:hAnsi="Calibri"/>
                <w:b w:val="0"/>
                <w:i w:val="0"/>
                <w:color w:val="172B4D"/>
                <w:sz w:val="18"/>
              </w:rPr>
              <w:t>Recommendations</w:t>
            </w:r>
          </w:p>
        </w:tc>
        <w:tc>
          <w:tcPr>
            <w:tcW w:type="dxa" w:w="7160"/>
          </w:tcPr>
          <w:p>
            <w:pPr>
              <w:widowControl/>
              <w:spacing w:after="0"/>
            </w:pPr>
            <w:r>
              <w:rPr>
                <w:rFonts w:ascii="Calibri" w:hAnsi="Calibri"/>
                <w:b w:val="0"/>
                <w:i w:val="0"/>
                <w:color w:val="172B4D"/>
                <w:sz w:val="18"/>
              </w:rPr>
              <w:t>State the evidence and playbook behind the suggestion; never imply guaranteed outcomes.</w:t>
            </w:r>
          </w:p>
        </w:tc>
      </w:tr>
      <w:tr>
        <w:tc>
          <w:tcPr>
            <w:tcW w:type="dxa" w:w="2200"/>
          </w:tcPr>
          <w:p>
            <w:pPr>
              <w:widowControl/>
              <w:spacing w:after="0"/>
            </w:pPr>
            <w:r>
              <w:rPr>
                <w:rFonts w:ascii="Calibri" w:hAnsi="Calibri"/>
                <w:b w:val="0"/>
                <w:i w:val="0"/>
                <w:color w:val="172B4D"/>
                <w:sz w:val="18"/>
              </w:rPr>
              <w:t>Natural-language query</w:t>
            </w:r>
          </w:p>
        </w:tc>
        <w:tc>
          <w:tcPr>
            <w:tcW w:type="dxa" w:w="7160"/>
          </w:tcPr>
          <w:p>
            <w:pPr>
              <w:widowControl/>
              <w:spacing w:after="0"/>
            </w:pPr>
            <w:r>
              <w:rPr>
                <w:rFonts w:ascii="Calibri" w:hAnsi="Calibri"/>
                <w:b w:val="0"/>
                <w:i w:val="0"/>
                <w:color w:val="172B4D"/>
                <w:sz w:val="18"/>
              </w:rPr>
              <w:t>Show the generated Boolean/filter logic for review before activation.</w:t>
            </w:r>
          </w:p>
        </w:tc>
      </w:tr>
    </w:tbl>
    <w:p>
      <w:pPr>
        <w:widowControl/>
        <w:spacing w:after="0"/>
      </w:pPr>
    </w:p>
    <w:p>
      <w:pPr>
        <w:pStyle w:val="Heading2"/>
        <w:widowControl/>
      </w:pPr>
      <w:r>
        <w:t>13.1 Evaluation programme</w:t>
      </w:r>
    </w:p>
    <w:p>
      <w:pPr>
        <w:pStyle w:val="ListBullet"/>
        <w:widowControl/>
      </w:pPr>
      <w:r>
        <w:rPr>
          <w:rFonts w:ascii="Calibri" w:hAnsi="Calibri"/>
          <w:b w:val="0"/>
          <w:i w:val="0"/>
          <w:color w:val="172B4D"/>
          <w:sz w:val="22"/>
        </w:rPr>
        <w:t>Create labelled South African datasets for sentiment, language, code-switching, issue type and risk.</w:t>
      </w:r>
    </w:p>
    <w:p>
      <w:pPr>
        <w:pStyle w:val="ListBullet"/>
        <w:widowControl/>
      </w:pPr>
      <w:r>
        <w:rPr>
          <w:rFonts w:ascii="Calibri" w:hAnsi="Calibri"/>
          <w:b w:val="0"/>
          <w:i w:val="0"/>
          <w:color w:val="172B4D"/>
          <w:sz w:val="22"/>
        </w:rPr>
        <w:t>Measure precision/recall for alerts, classification agreement, unsupported-claim rate and citation correctness.</w:t>
      </w:r>
    </w:p>
    <w:p>
      <w:pPr>
        <w:pStyle w:val="ListBullet"/>
        <w:widowControl/>
      </w:pPr>
      <w:r>
        <w:rPr>
          <w:rFonts w:ascii="Calibri" w:hAnsi="Calibri"/>
          <w:b w:val="0"/>
          <w:i w:val="0"/>
          <w:color w:val="172B4D"/>
          <w:sz w:val="22"/>
        </w:rPr>
        <w:t>Track analyst override rates by model, language and topic.</w:t>
      </w:r>
    </w:p>
    <w:p>
      <w:pPr>
        <w:pStyle w:val="ListBullet"/>
        <w:widowControl/>
      </w:pPr>
      <w:r>
        <w:rPr>
          <w:rFonts w:ascii="Calibri" w:hAnsi="Calibri"/>
          <w:b w:val="0"/>
          <w:i w:val="0"/>
          <w:color w:val="172B4D"/>
          <w:sz w:val="22"/>
        </w:rPr>
        <w:t>Red-team prompt injection from ingested content and attempts to bypass publication controls.</w:t>
      </w:r>
    </w:p>
    <w:p>
      <w:pPr>
        <w:pStyle w:val="ListBullet"/>
        <w:widowControl/>
      </w:pPr>
      <w:r>
        <w:rPr>
          <w:rFonts w:ascii="Calibri" w:hAnsi="Calibri"/>
          <w:b w:val="0"/>
          <w:i w:val="0"/>
          <w:color w:val="172B4D"/>
          <w:sz w:val="22"/>
        </w:rPr>
        <w:t>Run pre-release regression tests on high-risk workflows and after every model/prompt change.</w:t>
      </w:r>
    </w:p>
    <w:p>
      <w:pPr>
        <w:pStyle w:val="Heading1"/>
        <w:pageBreakBefore/>
        <w:widowControl/>
      </w:pPr>
      <w:r>
        <w:t>14. Security, privacy and compliance</w:t>
      </w:r>
    </w:p>
    <w:p>
      <w:pPr>
        <w:pStyle w:val="ListBullet"/>
        <w:widowControl/>
      </w:pPr>
      <w:r>
        <w:rPr>
          <w:rFonts w:ascii="Calibri" w:hAnsi="Calibri"/>
          <w:b w:val="0"/>
          <w:i w:val="0"/>
          <w:color w:val="172B4D"/>
          <w:sz w:val="22"/>
        </w:rPr>
        <w:t>POPIA-aligned purpose limitation, data minimisation, access control, retention and data-subject processes.</w:t>
      </w:r>
    </w:p>
    <w:p>
      <w:pPr>
        <w:pStyle w:val="ListBullet"/>
        <w:widowControl/>
      </w:pPr>
      <w:r>
        <w:rPr>
          <w:rFonts w:ascii="Calibri" w:hAnsi="Calibri"/>
          <w:b w:val="0"/>
          <w:i w:val="0"/>
          <w:color w:val="172B4D"/>
          <w:sz w:val="22"/>
        </w:rPr>
        <w:t>Tenant isolation in application, database, search, cache, storage and analytics layers.</w:t>
      </w:r>
    </w:p>
    <w:p>
      <w:pPr>
        <w:pStyle w:val="ListBullet"/>
        <w:widowControl/>
      </w:pPr>
      <w:r>
        <w:rPr>
          <w:rFonts w:ascii="Calibri" w:hAnsi="Calibri"/>
          <w:b w:val="0"/>
          <w:i w:val="0"/>
          <w:color w:val="172B4D"/>
          <w:sz w:val="22"/>
        </w:rPr>
        <w:t>Single sign-on and MFA for enterprise clients; session and device controls.</w:t>
      </w:r>
    </w:p>
    <w:p>
      <w:pPr>
        <w:pStyle w:val="ListBullet"/>
        <w:widowControl/>
      </w:pPr>
      <w:r>
        <w:rPr>
          <w:rFonts w:ascii="Calibri" w:hAnsi="Calibri"/>
          <w:b w:val="0"/>
          <w:i w:val="0"/>
          <w:color w:val="172B4D"/>
          <w:sz w:val="22"/>
        </w:rPr>
        <w:t>Least-privilege roles with separate capabilities for viewing, exporting, approving, publishing and deleting.</w:t>
      </w:r>
    </w:p>
    <w:p>
      <w:pPr>
        <w:pStyle w:val="ListBullet"/>
        <w:widowControl/>
      </w:pPr>
      <w:r>
        <w:rPr>
          <w:rFonts w:ascii="Calibri" w:hAnsi="Calibri"/>
          <w:b w:val="0"/>
          <w:i w:val="0"/>
          <w:color w:val="172B4D"/>
          <w:sz w:val="22"/>
        </w:rPr>
        <w:t>Encryption in transit and at rest; secret vault for platform tokens; token rotation and revocation.</w:t>
      </w:r>
    </w:p>
    <w:p>
      <w:pPr>
        <w:pStyle w:val="ListBullet"/>
        <w:widowControl/>
      </w:pPr>
      <w:r>
        <w:rPr>
          <w:rFonts w:ascii="Calibri" w:hAnsi="Calibri"/>
          <w:b w:val="0"/>
          <w:i w:val="0"/>
          <w:color w:val="172B4D"/>
          <w:sz w:val="22"/>
        </w:rPr>
        <w:t>Immutable audit log for authentication, searches, exports, configuration, classifications, approvals, responses and publishing.</w:t>
      </w:r>
    </w:p>
    <w:p>
      <w:pPr>
        <w:pStyle w:val="ListBullet"/>
        <w:widowControl/>
      </w:pPr>
      <w:r>
        <w:rPr>
          <w:rFonts w:ascii="Calibri" w:hAnsi="Calibri"/>
          <w:b w:val="0"/>
          <w:i w:val="0"/>
          <w:color w:val="172B4D"/>
          <w:sz w:val="22"/>
        </w:rPr>
        <w:t>Data residency and sub-processor register appropriate to client requirements.</w:t>
      </w:r>
    </w:p>
    <w:p>
      <w:pPr>
        <w:pStyle w:val="ListBullet"/>
        <w:widowControl/>
      </w:pPr>
      <w:r>
        <w:rPr>
          <w:rFonts w:ascii="Calibri" w:hAnsi="Calibri"/>
          <w:b w:val="0"/>
          <w:i w:val="0"/>
          <w:color w:val="172B4D"/>
          <w:sz w:val="22"/>
        </w:rPr>
        <w:t>Backups, tested restoration, recovery objectives and incident response plan.</w:t>
      </w:r>
    </w:p>
    <w:p>
      <w:pPr>
        <w:pStyle w:val="ListBullet"/>
        <w:widowControl/>
      </w:pPr>
      <w:r>
        <w:rPr>
          <w:rFonts w:ascii="Calibri" w:hAnsi="Calibri"/>
          <w:b w:val="0"/>
          <w:i w:val="0"/>
          <w:color w:val="172B4D"/>
          <w:sz w:val="22"/>
        </w:rPr>
        <w:t>Copyright and source-licence controls on full text, screenshots, redistribution and retention.</w:t>
      </w:r>
    </w:p>
    <w:p>
      <w:pPr>
        <w:pStyle w:val="ListBullet"/>
        <w:widowControl/>
      </w:pPr>
      <w:r>
        <w:rPr>
          <w:rFonts w:ascii="Calibri" w:hAnsi="Calibri"/>
          <w:b w:val="0"/>
          <w:i w:val="0"/>
          <w:color w:val="172B4D"/>
          <w:sz w:val="22"/>
        </w:rPr>
        <w:t>Secure export links, watermarking where required and automatic expiry.</w:t>
      </w:r>
    </w:p>
    <w:p>
      <w:pPr>
        <w:pStyle w:val="Heading2"/>
        <w:widowControl/>
      </w:pPr>
      <w:r>
        <w:t>14.1 Archive governance</w:t>
      </w:r>
    </w:p>
    <w:tbl>
      <w:tblPr>
        <w:tblW w:type="dxa" w:w="9360"/>
        <w:jc w:val="left"/>
        <w:tblLayout w:type="fixed"/>
        <w:tblLook w:firstColumn="1" w:firstRow="1" w:lastColumn="0" w:lastRow="0" w:noHBand="0" w:noVBand="1" w:val="04A0"/>
        <w:tblInd w:w="120" w:type="dxa"/>
        <w:tblBorders>
          <w:top w:val="single" w:sz="8" w:color="B42318"/>
          <w:left w:val="single" w:sz="8" w:color="B42318"/>
          <w:bottom w:val="single" w:sz="8" w:color="B42318"/>
          <w:right w:val="single" w:sz="8" w:color="B42318"/>
          <w:insideH w:val="single" w:sz="8" w:color="B42318"/>
          <w:insideV w:val="single" w:sz="8" w:color="B42318"/>
        </w:tblBorders>
      </w:tblPr>
      <w:tblGrid>
        <w:gridCol w:w="9360"/>
      </w:tblGrid>
      <w:tr>
        <w:tc>
          <w:tcPr>
            <w:tcW w:type="dxa" w:w="9360"/>
            <w:vAlign w:val="center"/>
            <w:tcMar>
              <w:top w:w="80" w:type="dxa"/>
              <w:start w:w="120" w:type="dxa"/>
              <w:bottom w:w="80" w:type="dxa"/>
              <w:end w:w="120" w:type="dxa"/>
            </w:tcMar>
            <w:shd w:fill="FFF3F0"/>
          </w:tcPr>
          <w:p>
            <w:pPr>
              <w:widowControl/>
              <w:spacing w:after="40"/>
            </w:pPr>
            <w:r>
              <w:rPr>
                <w:rFonts w:ascii="Calibri" w:hAnsi="Calibri"/>
                <w:b/>
                <w:i w:val="0"/>
                <w:color w:val="B42318"/>
                <w:sz w:val="18"/>
              </w:rPr>
              <w:t>NON-NEGOTIABLE</w:t>
            </w:r>
          </w:p>
          <w:p>
            <w:pPr>
              <w:widowControl/>
              <w:spacing w:after="40"/>
            </w:pPr>
            <w:r>
              <w:rPr>
                <w:rFonts w:ascii="Calibri" w:hAnsi="Calibri"/>
                <w:b/>
                <w:i w:val="0"/>
                <w:color w:val="172B4D"/>
                <w:sz w:val="22"/>
              </w:rPr>
              <w:t>“Archive everything forever” is neither legally nor commercially safe. Retention must be content-class and licence aware, with deletion, tombstones and legal holds governed by policy.</w:t>
            </w:r>
          </w:p>
        </w:tc>
      </w:tr>
    </w:tbl>
    <w:p>
      <w:pPr>
        <w:widowControl/>
        <w:spacing w:after="0"/>
      </w:pPr>
    </w:p>
    <w:p>
      <w:pPr>
        <w:pStyle w:val="Heading1"/>
        <w:pageBreakBefore/>
        <w:widowControl/>
      </w:pPr>
      <w:r>
        <w:t>15. Non-functional requirements</w:t>
      </w:r>
    </w:p>
    <w:tbl>
      <w:tblPr>
        <w:tblW w:type="dxa" w:w="9360"/>
        <w:jc w:val="left"/>
        <w:tblLayout w:type="fixed"/>
        <w:tblLook w:firstColumn="1" w:firstRow="1" w:lastColumn="0" w:lastRow="0" w:noHBand="0" w:noVBand="1" w:val="04A0"/>
        <w:tblInd w:w="120" w:type="dxa"/>
        <w:tblBorders>
          <w:top w:val="single" w:sz="5" w:color="D0D5DD"/>
          <w:left w:val="single" w:sz="5" w:color="D0D5DD"/>
          <w:bottom w:val="single" w:sz="5" w:color="D0D5DD"/>
          <w:right w:val="single" w:sz="5" w:color="D0D5DD"/>
          <w:insideH w:val="single" w:sz="5" w:color="D0D5DD"/>
          <w:insideV w:val="single" w:sz="5" w:color="D0D5DD"/>
        </w:tblBorders>
      </w:tblPr>
      <w:tblGrid>
        <w:gridCol w:w="1900"/>
        <w:gridCol w:w="7460"/>
      </w:tblGrid>
      <w:tr>
        <w:trPr>
          <w:tblHeader w:val="true"/>
        </w:trPr>
        <w:tc>
          <w:tcPr>
            <w:tcW w:type="dxa" w:w="1900"/>
            <w:vAlign w:val="center"/>
            <w:tcMar>
              <w:top w:w="80" w:type="dxa"/>
              <w:start w:w="120" w:type="dxa"/>
              <w:bottom w:w="80" w:type="dxa"/>
              <w:end w:w="120" w:type="dxa"/>
            </w:tcMar>
            <w:shd w:fill="F2F4F7"/>
          </w:tcPr>
          <w:p>
            <w:pPr>
              <w:widowControl/>
              <w:spacing w:after="0"/>
            </w:pPr>
            <w:r>
              <w:rPr>
                <w:rFonts w:ascii="Calibri" w:hAnsi="Calibri"/>
                <w:b/>
                <w:i w:val="0"/>
                <w:color w:val="0B2545"/>
                <w:sz w:val="18"/>
              </w:rPr>
              <w:t>Area</w:t>
            </w:r>
          </w:p>
        </w:tc>
        <w:tc>
          <w:tcPr>
            <w:tcW w:type="dxa" w:w="7460"/>
            <w:vAlign w:val="center"/>
            <w:tcMar>
              <w:top w:w="80" w:type="dxa"/>
              <w:start w:w="120" w:type="dxa"/>
              <w:bottom w:w="80" w:type="dxa"/>
              <w:end w:w="120" w:type="dxa"/>
            </w:tcMar>
            <w:shd w:fill="F2F4F7"/>
          </w:tcPr>
          <w:p>
            <w:pPr>
              <w:widowControl/>
              <w:spacing w:after="0"/>
            </w:pPr>
            <w:r>
              <w:rPr>
                <w:rFonts w:ascii="Calibri" w:hAnsi="Calibri"/>
                <w:b/>
                <w:i w:val="0"/>
                <w:color w:val="0B2545"/>
                <w:sz w:val="18"/>
              </w:rPr>
              <w:t>Target for MVP / production design</w:t>
            </w:r>
          </w:p>
        </w:tc>
      </w:tr>
      <w:tr>
        <w:tc>
          <w:tcPr>
            <w:tcW w:type="dxa" w:w="1900"/>
          </w:tcPr>
          <w:p>
            <w:pPr>
              <w:widowControl/>
              <w:spacing w:after="0"/>
            </w:pPr>
            <w:r>
              <w:rPr>
                <w:rFonts w:ascii="Calibri" w:hAnsi="Calibri"/>
                <w:b w:val="0"/>
                <w:i w:val="0"/>
                <w:color w:val="172B4D"/>
                <w:sz w:val="18"/>
              </w:rPr>
              <w:t>Availability</w:t>
            </w:r>
          </w:p>
        </w:tc>
        <w:tc>
          <w:tcPr>
            <w:tcW w:type="dxa" w:w="7460"/>
          </w:tcPr>
          <w:p>
            <w:pPr>
              <w:widowControl/>
              <w:spacing w:after="0"/>
            </w:pPr>
            <w:r>
              <w:rPr>
                <w:rFonts w:ascii="Calibri" w:hAnsi="Calibri"/>
                <w:b w:val="0"/>
                <w:i w:val="0"/>
                <w:color w:val="172B4D"/>
                <w:sz w:val="18"/>
              </w:rPr>
              <w:t>99.9% application target excluding declared third-party platform outages; degraded mode for individual connectors.</w:t>
            </w:r>
          </w:p>
        </w:tc>
      </w:tr>
      <w:tr>
        <w:tc>
          <w:tcPr>
            <w:tcW w:type="dxa" w:w="1900"/>
          </w:tcPr>
          <w:p>
            <w:pPr>
              <w:widowControl/>
              <w:spacing w:after="0"/>
            </w:pPr>
            <w:r>
              <w:rPr>
                <w:rFonts w:ascii="Calibri" w:hAnsi="Calibri"/>
                <w:b w:val="0"/>
                <w:i w:val="0"/>
                <w:color w:val="172B4D"/>
                <w:sz w:val="18"/>
              </w:rPr>
              <w:t>Freshness</w:t>
            </w:r>
          </w:p>
        </w:tc>
        <w:tc>
          <w:tcPr>
            <w:tcW w:type="dxa" w:w="7460"/>
          </w:tcPr>
          <w:p>
            <w:pPr>
              <w:widowControl/>
              <w:spacing w:after="0"/>
            </w:pPr>
            <w:r>
              <w:rPr>
                <w:rFonts w:ascii="Calibri" w:hAnsi="Calibri"/>
                <w:b w:val="0"/>
                <w:i w:val="0"/>
                <w:color w:val="172B4D"/>
                <w:sz w:val="18"/>
              </w:rPr>
              <w:t>Owned social webhooks within minutes where supported; news feed freshness according to provider SLA; visible last-sync state.</w:t>
            </w:r>
          </w:p>
        </w:tc>
      </w:tr>
      <w:tr>
        <w:tc>
          <w:tcPr>
            <w:tcW w:type="dxa" w:w="1900"/>
          </w:tcPr>
          <w:p>
            <w:pPr>
              <w:widowControl/>
              <w:spacing w:after="0"/>
            </w:pPr>
            <w:r>
              <w:rPr>
                <w:rFonts w:ascii="Calibri" w:hAnsi="Calibri"/>
                <w:b w:val="0"/>
                <w:i w:val="0"/>
                <w:color w:val="172B4D"/>
                <w:sz w:val="18"/>
              </w:rPr>
              <w:t>Search performance</w:t>
            </w:r>
          </w:p>
        </w:tc>
        <w:tc>
          <w:tcPr>
            <w:tcW w:type="dxa" w:w="7460"/>
          </w:tcPr>
          <w:p>
            <w:pPr>
              <w:widowControl/>
              <w:spacing w:after="0"/>
            </w:pPr>
            <w:r>
              <w:rPr>
                <w:rFonts w:ascii="Calibri" w:hAnsi="Calibri"/>
                <w:b w:val="0"/>
                <w:i w:val="0"/>
                <w:color w:val="172B4D"/>
                <w:sz w:val="18"/>
              </w:rPr>
              <w:t>Common saved searches in under 3 seconds at agreed tenant volumes; progressive loading for large analysis.</w:t>
            </w:r>
          </w:p>
        </w:tc>
      </w:tr>
      <w:tr>
        <w:tc>
          <w:tcPr>
            <w:tcW w:type="dxa" w:w="1900"/>
          </w:tcPr>
          <w:p>
            <w:pPr>
              <w:widowControl/>
              <w:spacing w:after="0"/>
            </w:pPr>
            <w:r>
              <w:rPr>
                <w:rFonts w:ascii="Calibri" w:hAnsi="Calibri"/>
                <w:b w:val="0"/>
                <w:i w:val="0"/>
                <w:color w:val="172B4D"/>
                <w:sz w:val="18"/>
              </w:rPr>
              <w:t>Publishing reliability</w:t>
            </w:r>
          </w:p>
        </w:tc>
        <w:tc>
          <w:tcPr>
            <w:tcW w:type="dxa" w:w="7460"/>
          </w:tcPr>
          <w:p>
            <w:pPr>
              <w:widowControl/>
              <w:spacing w:after="0"/>
            </w:pPr>
            <w:r>
              <w:rPr>
                <w:rFonts w:ascii="Calibri" w:hAnsi="Calibri"/>
                <w:b w:val="0"/>
                <w:i w:val="0"/>
                <w:color w:val="172B4D"/>
                <w:sz w:val="18"/>
              </w:rPr>
              <w:t>Idempotent jobs, retries with backoff, clear partial-failure status and reconciliation against native platform.</w:t>
            </w:r>
          </w:p>
        </w:tc>
      </w:tr>
      <w:tr>
        <w:tc>
          <w:tcPr>
            <w:tcW w:type="dxa" w:w="1900"/>
          </w:tcPr>
          <w:p>
            <w:pPr>
              <w:widowControl/>
              <w:spacing w:after="0"/>
            </w:pPr>
            <w:r>
              <w:rPr>
                <w:rFonts w:ascii="Calibri" w:hAnsi="Calibri"/>
                <w:b w:val="0"/>
                <w:i w:val="0"/>
                <w:color w:val="172B4D"/>
                <w:sz w:val="18"/>
              </w:rPr>
              <w:t>Scalability</w:t>
            </w:r>
          </w:p>
        </w:tc>
        <w:tc>
          <w:tcPr>
            <w:tcW w:type="dxa" w:w="7460"/>
          </w:tcPr>
          <w:p>
            <w:pPr>
              <w:widowControl/>
              <w:spacing w:after="0"/>
            </w:pPr>
            <w:r>
              <w:rPr>
                <w:rFonts w:ascii="Calibri" w:hAnsi="Calibri"/>
                <w:b w:val="0"/>
                <w:i w:val="0"/>
                <w:color w:val="172B4D"/>
                <w:sz w:val="18"/>
              </w:rPr>
              <w:t>Partition by tenant/source/time; queue-based ingestion; horizontally scalable search and workers.</w:t>
            </w:r>
          </w:p>
        </w:tc>
      </w:tr>
      <w:tr>
        <w:tc>
          <w:tcPr>
            <w:tcW w:type="dxa" w:w="1900"/>
          </w:tcPr>
          <w:p>
            <w:pPr>
              <w:widowControl/>
              <w:spacing w:after="0"/>
            </w:pPr>
            <w:r>
              <w:rPr>
                <w:rFonts w:ascii="Calibri" w:hAnsi="Calibri"/>
                <w:b w:val="0"/>
                <w:i w:val="0"/>
                <w:color w:val="172B4D"/>
                <w:sz w:val="18"/>
              </w:rPr>
              <w:t>Accessibility</w:t>
            </w:r>
          </w:p>
        </w:tc>
        <w:tc>
          <w:tcPr>
            <w:tcW w:type="dxa" w:w="7460"/>
          </w:tcPr>
          <w:p>
            <w:pPr>
              <w:widowControl/>
              <w:spacing w:after="0"/>
            </w:pPr>
            <w:r>
              <w:rPr>
                <w:rFonts w:ascii="Calibri" w:hAnsi="Calibri"/>
                <w:b w:val="0"/>
                <w:i w:val="0"/>
                <w:color w:val="172B4D"/>
                <w:sz w:val="18"/>
              </w:rPr>
              <w:t>WCAG 2.2 AA target for keyboard, contrast, focus, labels, charts and status indicators.</w:t>
            </w:r>
          </w:p>
        </w:tc>
      </w:tr>
      <w:tr>
        <w:tc>
          <w:tcPr>
            <w:tcW w:type="dxa" w:w="1900"/>
          </w:tcPr>
          <w:p>
            <w:pPr>
              <w:widowControl/>
              <w:spacing w:after="0"/>
            </w:pPr>
            <w:r>
              <w:rPr>
                <w:rFonts w:ascii="Calibri" w:hAnsi="Calibri"/>
                <w:b w:val="0"/>
                <w:i w:val="0"/>
                <w:color w:val="172B4D"/>
                <w:sz w:val="18"/>
              </w:rPr>
              <w:t>Auditability</w:t>
            </w:r>
          </w:p>
        </w:tc>
        <w:tc>
          <w:tcPr>
            <w:tcW w:type="dxa" w:w="7460"/>
          </w:tcPr>
          <w:p>
            <w:pPr>
              <w:widowControl/>
              <w:spacing w:after="0"/>
            </w:pPr>
            <w:r>
              <w:rPr>
                <w:rFonts w:ascii="Calibri" w:hAnsi="Calibri"/>
                <w:b w:val="0"/>
                <w:i w:val="0"/>
                <w:color w:val="172B4D"/>
                <w:sz w:val="18"/>
              </w:rPr>
              <w:t>Every externally visible action attributable to actor, policy, version and timestamp.</w:t>
            </w:r>
          </w:p>
        </w:tc>
      </w:tr>
      <w:tr>
        <w:tc>
          <w:tcPr>
            <w:tcW w:type="dxa" w:w="1900"/>
          </w:tcPr>
          <w:p>
            <w:pPr>
              <w:widowControl/>
              <w:spacing w:after="0"/>
            </w:pPr>
            <w:r>
              <w:rPr>
                <w:rFonts w:ascii="Calibri" w:hAnsi="Calibri"/>
                <w:b w:val="0"/>
                <w:i w:val="0"/>
                <w:color w:val="172B4D"/>
                <w:sz w:val="18"/>
              </w:rPr>
              <w:t>Observability</w:t>
            </w:r>
          </w:p>
        </w:tc>
        <w:tc>
          <w:tcPr>
            <w:tcW w:type="dxa" w:w="7460"/>
          </w:tcPr>
          <w:p>
            <w:pPr>
              <w:widowControl/>
              <w:spacing w:after="0"/>
            </w:pPr>
            <w:r>
              <w:rPr>
                <w:rFonts w:ascii="Calibri" w:hAnsi="Calibri"/>
                <w:b w:val="0"/>
                <w:i w:val="0"/>
                <w:color w:val="172B4D"/>
                <w:sz w:val="18"/>
              </w:rPr>
              <w:t>Per-connector latency/error dashboards, alerting, dead-letter handling and replay tools.</w:t>
            </w:r>
          </w:p>
        </w:tc>
      </w:tr>
      <w:tr>
        <w:tc>
          <w:tcPr>
            <w:tcW w:type="dxa" w:w="1900"/>
          </w:tcPr>
          <w:p>
            <w:pPr>
              <w:widowControl/>
              <w:spacing w:after="0"/>
            </w:pPr>
            <w:r>
              <w:rPr>
                <w:rFonts w:ascii="Calibri" w:hAnsi="Calibri"/>
                <w:b w:val="0"/>
                <w:i w:val="0"/>
                <w:color w:val="172B4D"/>
                <w:sz w:val="18"/>
              </w:rPr>
              <w:t>Portability</w:t>
            </w:r>
          </w:p>
        </w:tc>
        <w:tc>
          <w:tcPr>
            <w:tcW w:type="dxa" w:w="7460"/>
          </w:tcPr>
          <w:p>
            <w:pPr>
              <w:widowControl/>
              <w:spacing w:after="0"/>
            </w:pPr>
            <w:r>
              <w:rPr>
                <w:rFonts w:ascii="Calibri" w:hAnsi="Calibri"/>
                <w:b w:val="0"/>
                <w:i w:val="0"/>
                <w:color w:val="172B4D"/>
                <w:sz w:val="18"/>
              </w:rPr>
              <w:t>Tenant export for agreed data classes and report configurations; connector abstraction avoids vendor lock-in.</w:t>
            </w:r>
          </w:p>
        </w:tc>
      </w:tr>
      <w:tr>
        <w:tc>
          <w:tcPr>
            <w:tcW w:type="dxa" w:w="1900"/>
          </w:tcPr>
          <w:p>
            <w:pPr>
              <w:widowControl/>
              <w:spacing w:after="0"/>
            </w:pPr>
            <w:r>
              <w:rPr>
                <w:rFonts w:ascii="Calibri" w:hAnsi="Calibri"/>
                <w:b w:val="0"/>
                <w:i w:val="0"/>
                <w:color w:val="172B4D"/>
                <w:sz w:val="18"/>
              </w:rPr>
              <w:t>Localisation</w:t>
            </w:r>
          </w:p>
        </w:tc>
        <w:tc>
          <w:tcPr>
            <w:tcW w:type="dxa" w:w="7460"/>
          </w:tcPr>
          <w:p>
            <w:pPr>
              <w:widowControl/>
              <w:spacing w:after="0"/>
            </w:pPr>
            <w:r>
              <w:rPr>
                <w:rFonts w:ascii="Calibri" w:hAnsi="Calibri"/>
                <w:b w:val="0"/>
                <w:i w:val="0"/>
                <w:color w:val="172B4D"/>
                <w:sz w:val="18"/>
              </w:rPr>
              <w:t>Timezone, date/number format, multilingual content and South African geographic hierarchy.</w:t>
            </w:r>
          </w:p>
        </w:tc>
      </w:tr>
    </w:tbl>
    <w:p>
      <w:pPr>
        <w:widowControl/>
        <w:spacing w:after="0"/>
      </w:pPr>
    </w:p>
    <w:p>
      <w:pPr>
        <w:pStyle w:val="Heading1"/>
        <w:pageBreakBefore/>
        <w:widowControl/>
      </w:pPr>
      <w:r>
        <w:t>16. MVP recommendation</w:t>
      </w:r>
    </w:p>
    <w:tbl>
      <w:tblPr>
        <w:tblW w:type="dxa" w:w="9360"/>
        <w:jc w:val="left"/>
        <w:tblLayout w:type="fixed"/>
        <w:tblLook w:firstColumn="1" w:firstRow="1" w:lastColumn="0" w:lastRow="0" w:noHBand="0" w:noVBand="1" w:val="04A0"/>
        <w:tblInd w:w="120" w:type="dxa"/>
        <w:tblBorders>
          <w:top w:val="single" w:sz="8" w:color="2E74B5"/>
          <w:left w:val="single" w:sz="8" w:color="2E74B5"/>
          <w:bottom w:val="single" w:sz="8" w:color="2E74B5"/>
          <w:right w:val="single" w:sz="8" w:color="2E74B5"/>
          <w:insideH w:val="single" w:sz="8" w:color="2E74B5"/>
          <w:insideV w:val="single" w:sz="8" w:color="2E74B5"/>
        </w:tblBorders>
      </w:tblPr>
      <w:tblGrid>
        <w:gridCol w:w="9360"/>
      </w:tblGrid>
      <w:tr>
        <w:tc>
          <w:tcPr>
            <w:tcW w:type="dxa" w:w="9360"/>
            <w:vAlign w:val="center"/>
            <w:tcMar>
              <w:top w:w="80" w:type="dxa"/>
              <w:start w:w="120" w:type="dxa"/>
              <w:bottom w:w="80" w:type="dxa"/>
              <w:end w:w="120" w:type="dxa"/>
            </w:tcMar>
            <w:shd w:fill="E8EEF5"/>
          </w:tcPr>
          <w:p>
            <w:pPr>
              <w:widowControl/>
              <w:spacing w:after="40"/>
            </w:pPr>
            <w:r>
              <w:rPr>
                <w:rFonts w:ascii="Calibri" w:hAnsi="Calibri"/>
                <w:b/>
                <w:i w:val="0"/>
                <w:color w:val="2E74B5"/>
                <w:sz w:val="18"/>
              </w:rPr>
              <w:t>MVP OBJECTIVE</w:t>
            </w:r>
          </w:p>
          <w:p>
            <w:pPr>
              <w:widowControl/>
              <w:spacing w:after="40"/>
            </w:pPr>
            <w:r>
              <w:rPr>
                <w:rFonts w:ascii="Calibri" w:hAnsi="Calibri"/>
                <w:b/>
                <w:i w:val="0"/>
                <w:color w:val="172B4D"/>
                <w:sz w:val="22"/>
              </w:rPr>
              <w:t>Prove that one team can move from monitored signal to assigned response, approved publication, searchable archive and trusted KPI report—inside one system.</w:t>
            </w:r>
          </w:p>
        </w:tc>
      </w:tr>
    </w:tbl>
    <w:p>
      <w:pPr>
        <w:widowControl/>
        <w:spacing w:after="0"/>
      </w:pPr>
    </w:p>
    <w:p>
      <w:pPr>
        <w:pStyle w:val="Heading2"/>
        <w:widowControl/>
      </w:pPr>
      <w:r>
        <w:t>16.1 MVP scope</w:t>
      </w:r>
    </w:p>
    <w:p>
      <w:pPr>
        <w:pStyle w:val="ListBullet"/>
        <w:widowControl/>
      </w:pPr>
      <w:r>
        <w:rPr>
          <w:rFonts w:ascii="Calibri" w:hAnsi="Calibri"/>
          <w:b w:val="0"/>
          <w:i w:val="0"/>
          <w:color w:val="172B4D"/>
          <w:sz w:val="22"/>
        </w:rPr>
        <w:t>Multi-tenant organisations, workspaces, roles and audit.</w:t>
      </w:r>
    </w:p>
    <w:p>
      <w:pPr>
        <w:pStyle w:val="ListBullet"/>
        <w:widowControl/>
      </w:pPr>
      <w:r>
        <w:rPr>
          <w:rFonts w:ascii="Calibri" w:hAnsi="Calibri"/>
          <w:b w:val="0"/>
          <w:i w:val="0"/>
          <w:color w:val="172B4D"/>
          <w:sz w:val="22"/>
        </w:rPr>
        <w:t>Online news feed plus selected RSS/direct sources.</w:t>
      </w:r>
    </w:p>
    <w:p>
      <w:pPr>
        <w:pStyle w:val="ListBullet"/>
        <w:widowControl/>
      </w:pPr>
      <w:r>
        <w:rPr>
          <w:rFonts w:ascii="Calibri" w:hAnsi="Calibri"/>
          <w:b w:val="0"/>
          <w:i w:val="0"/>
          <w:color w:val="172B4D"/>
          <w:sz w:val="22"/>
        </w:rPr>
        <w:t>Initial owned-social connections prioritised by confirmed client need.</w:t>
      </w:r>
    </w:p>
    <w:p>
      <w:pPr>
        <w:pStyle w:val="ListBullet"/>
        <w:widowControl/>
      </w:pPr>
      <w:r>
        <w:rPr>
          <w:rFonts w:ascii="Calibri" w:hAnsi="Calibri"/>
          <w:b w:val="0"/>
          <w:i w:val="0"/>
          <w:color w:val="172B4D"/>
          <w:sz w:val="22"/>
        </w:rPr>
        <w:t>Search, saved monitors, manual taxonomy, basic sentiment/topics and configurable alerts.</w:t>
      </w:r>
    </w:p>
    <w:p>
      <w:pPr>
        <w:pStyle w:val="ListBullet"/>
        <w:widowControl/>
      </w:pPr>
      <w:r>
        <w:rPr>
          <w:rFonts w:ascii="Calibri" w:hAnsi="Calibri"/>
          <w:b w:val="0"/>
          <w:i w:val="0"/>
          <w:color w:val="172B4D"/>
          <w:sz w:val="22"/>
        </w:rPr>
        <w:t>Unified case inbox with assignment, notes, templates, approval and SLA.</w:t>
      </w:r>
    </w:p>
    <w:p>
      <w:pPr>
        <w:pStyle w:val="ListBullet"/>
        <w:widowControl/>
      </w:pPr>
      <w:r>
        <w:rPr>
          <w:rFonts w:ascii="Calibri" w:hAnsi="Calibri"/>
          <w:b w:val="0"/>
          <w:i w:val="0"/>
          <w:color w:val="172B4D"/>
          <w:sz w:val="22"/>
        </w:rPr>
        <w:t>Content calendar, composer, one approval workflow and initial network publishing.</w:t>
      </w:r>
    </w:p>
    <w:p>
      <w:pPr>
        <w:pStyle w:val="ListBullet"/>
        <w:widowControl/>
      </w:pPr>
      <w:r>
        <w:rPr>
          <w:rFonts w:ascii="Calibri" w:hAnsi="Calibri"/>
          <w:b w:val="0"/>
          <w:i w:val="0"/>
          <w:color w:val="172B4D"/>
          <w:sz w:val="22"/>
        </w:rPr>
        <w:t>Automatic authored-content and case archive with search and export.</w:t>
      </w:r>
    </w:p>
    <w:p>
      <w:pPr>
        <w:pStyle w:val="ListBullet"/>
        <w:widowControl/>
      </w:pPr>
      <w:r>
        <w:rPr>
          <w:rFonts w:ascii="Calibri" w:hAnsi="Calibri"/>
          <w:b w:val="0"/>
          <w:i w:val="0"/>
          <w:color w:val="172B4D"/>
          <w:sz w:val="22"/>
        </w:rPr>
        <w:t>KPI definitions, configurable dashboard, campaign tag and PDF/CSV report.</w:t>
      </w:r>
    </w:p>
    <w:p>
      <w:pPr>
        <w:pStyle w:val="ListBullet"/>
        <w:widowControl/>
      </w:pPr>
      <w:r>
        <w:rPr>
          <w:rFonts w:ascii="Calibri" w:hAnsi="Calibri"/>
          <w:b w:val="0"/>
          <w:i w:val="0"/>
          <w:color w:val="172B4D"/>
          <w:sz w:val="22"/>
        </w:rPr>
        <w:t>Evidence-grounded AI brief, query assistance and response/report drafting.</w:t>
      </w:r>
    </w:p>
    <w:p>
      <w:pPr>
        <w:pStyle w:val="Heading2"/>
        <w:widowControl/>
      </w:pPr>
      <w:r>
        <w:t>16.2 Explicitly defer</w:t>
      </w:r>
    </w:p>
    <w:p>
      <w:pPr>
        <w:pStyle w:val="ListBullet"/>
        <w:widowControl/>
      </w:pPr>
      <w:r>
        <w:rPr>
          <w:rFonts w:ascii="Calibri" w:hAnsi="Calibri"/>
          <w:b w:val="0"/>
          <w:i w:val="0"/>
          <w:color w:val="172B4D"/>
          <w:sz w:val="22"/>
        </w:rPr>
        <w:t>Building a proprietary global media crawler and historical archive.</w:t>
      </w:r>
    </w:p>
    <w:p>
      <w:pPr>
        <w:pStyle w:val="ListBullet"/>
        <w:widowControl/>
      </w:pPr>
      <w:r>
        <w:rPr>
          <w:rFonts w:ascii="Calibri" w:hAnsi="Calibri"/>
          <w:b w:val="0"/>
          <w:i w:val="0"/>
          <w:color w:val="172B4D"/>
          <w:sz w:val="22"/>
        </w:rPr>
        <w:t>Full print, broadcast and podcast coverage without licensed feeds.</w:t>
      </w:r>
    </w:p>
    <w:p>
      <w:pPr>
        <w:pStyle w:val="ListBullet"/>
        <w:widowControl/>
      </w:pPr>
      <w:r>
        <w:rPr>
          <w:rFonts w:ascii="Calibri" w:hAnsi="Calibri"/>
          <w:b w:val="0"/>
          <w:i w:val="0"/>
          <w:color w:val="172B4D"/>
          <w:sz w:val="22"/>
        </w:rPr>
        <w:t>Influencer contracting/payments and paid-ad creation.</w:t>
      </w:r>
    </w:p>
    <w:p>
      <w:pPr>
        <w:pStyle w:val="ListBullet"/>
        <w:widowControl/>
      </w:pPr>
      <w:r>
        <w:rPr>
          <w:rFonts w:ascii="Calibri" w:hAnsi="Calibri"/>
          <w:b w:val="0"/>
          <w:i w:val="0"/>
          <w:color w:val="172B4D"/>
          <w:sz w:val="22"/>
        </w:rPr>
        <w:t>A full journalist database created from scraped personal data.</w:t>
      </w:r>
    </w:p>
    <w:p>
      <w:pPr>
        <w:pStyle w:val="ListBullet"/>
        <w:widowControl/>
      </w:pPr>
      <w:r>
        <w:rPr>
          <w:rFonts w:ascii="Calibri" w:hAnsi="Calibri"/>
          <w:b w:val="0"/>
          <w:i w:val="0"/>
          <w:color w:val="172B4D"/>
          <w:sz w:val="22"/>
        </w:rPr>
        <w:t>Autonomous public replies or crisis statements.</w:t>
      </w:r>
    </w:p>
    <w:p>
      <w:pPr>
        <w:pStyle w:val="ListBullet"/>
        <w:widowControl/>
      </w:pPr>
      <w:r>
        <w:rPr>
          <w:rFonts w:ascii="Calibri" w:hAnsi="Calibri"/>
          <w:b w:val="0"/>
          <w:i w:val="0"/>
          <w:color w:val="172B4D"/>
          <w:sz w:val="22"/>
        </w:rPr>
        <w:t>Predictive reputation forecasting marketed as certainty.</w:t>
      </w:r>
    </w:p>
    <w:p>
      <w:pPr>
        <w:pStyle w:val="Heading1"/>
        <w:pageBreakBefore/>
        <w:widowControl/>
      </w:pPr>
      <w:r>
        <w:t>17. Delivery roadmap</w:t>
      </w:r>
    </w:p>
    <w:tbl>
      <w:tblPr>
        <w:tblW w:type="dxa" w:w="9360"/>
        <w:jc w:val="left"/>
        <w:tblLayout w:type="fixed"/>
        <w:tblLook w:firstColumn="1" w:firstRow="1" w:lastColumn="0" w:lastRow="0" w:noHBand="0" w:noVBand="1" w:val="04A0"/>
        <w:tblInd w:w="120" w:type="dxa"/>
        <w:tblBorders>
          <w:top w:val="single" w:sz="5" w:color="D0D5DD"/>
          <w:left w:val="single" w:sz="5" w:color="D0D5DD"/>
          <w:bottom w:val="single" w:sz="5" w:color="D0D5DD"/>
          <w:right w:val="single" w:sz="5" w:color="D0D5DD"/>
          <w:insideH w:val="single" w:sz="5" w:color="D0D5DD"/>
          <w:insideV w:val="single" w:sz="5" w:color="D0D5DD"/>
        </w:tblBorders>
      </w:tblPr>
      <w:tblGrid>
        <w:gridCol w:w="1750"/>
        <w:gridCol w:w="1650"/>
        <w:gridCol w:w="5960"/>
      </w:tblGrid>
      <w:tr>
        <w:trPr>
          <w:tblHeader w:val="true"/>
        </w:trPr>
        <w:tc>
          <w:tcPr>
            <w:tcW w:type="dxa" w:w="1750"/>
            <w:vAlign w:val="center"/>
            <w:tcMar>
              <w:top w:w="80" w:type="dxa"/>
              <w:start w:w="120" w:type="dxa"/>
              <w:bottom w:w="80" w:type="dxa"/>
              <w:end w:w="120" w:type="dxa"/>
            </w:tcMar>
            <w:shd w:fill="F2F4F7"/>
          </w:tcPr>
          <w:p>
            <w:pPr>
              <w:widowControl/>
              <w:spacing w:after="0"/>
            </w:pPr>
            <w:r>
              <w:rPr>
                <w:rFonts w:ascii="Calibri" w:hAnsi="Calibri"/>
                <w:b/>
                <w:i w:val="0"/>
                <w:color w:val="0B2545"/>
                <w:sz w:val="18"/>
              </w:rPr>
              <w:t>Phase</w:t>
            </w:r>
          </w:p>
        </w:tc>
        <w:tc>
          <w:tcPr>
            <w:tcW w:type="dxa" w:w="1650"/>
            <w:vAlign w:val="center"/>
            <w:tcMar>
              <w:top w:w="80" w:type="dxa"/>
              <w:start w:w="120" w:type="dxa"/>
              <w:bottom w:w="80" w:type="dxa"/>
              <w:end w:w="120" w:type="dxa"/>
            </w:tcMar>
            <w:shd w:fill="F2F4F7"/>
          </w:tcPr>
          <w:p>
            <w:pPr>
              <w:widowControl/>
              <w:spacing w:after="0"/>
            </w:pPr>
            <w:r>
              <w:rPr>
                <w:rFonts w:ascii="Calibri" w:hAnsi="Calibri"/>
                <w:b/>
                <w:i w:val="0"/>
                <w:color w:val="0B2545"/>
                <w:sz w:val="18"/>
              </w:rPr>
              <w:t>Indicative duration</w:t>
            </w:r>
          </w:p>
        </w:tc>
        <w:tc>
          <w:tcPr>
            <w:tcW w:type="dxa" w:w="5960"/>
            <w:vAlign w:val="center"/>
            <w:tcMar>
              <w:top w:w="80" w:type="dxa"/>
              <w:start w:w="120" w:type="dxa"/>
              <w:bottom w:w="80" w:type="dxa"/>
              <w:end w:w="120" w:type="dxa"/>
            </w:tcMar>
            <w:shd w:fill="F2F4F7"/>
          </w:tcPr>
          <w:p>
            <w:pPr>
              <w:widowControl/>
              <w:spacing w:after="0"/>
            </w:pPr>
            <w:r>
              <w:rPr>
                <w:rFonts w:ascii="Calibri" w:hAnsi="Calibri"/>
                <w:b/>
                <w:i w:val="0"/>
                <w:color w:val="0B2545"/>
                <w:sz w:val="18"/>
              </w:rPr>
              <w:t>Outcome</w:t>
            </w:r>
          </w:p>
        </w:tc>
      </w:tr>
      <w:tr>
        <w:tc>
          <w:tcPr>
            <w:tcW w:type="dxa" w:w="1750"/>
          </w:tcPr>
          <w:p>
            <w:pPr>
              <w:widowControl/>
              <w:spacing w:after="0"/>
            </w:pPr>
            <w:r>
              <w:rPr>
                <w:rFonts w:ascii="Calibri" w:hAnsi="Calibri"/>
                <w:b w:val="0"/>
                <w:i w:val="0"/>
                <w:color w:val="172B4D"/>
                <w:sz w:val="18"/>
              </w:rPr>
              <w:t>0. Discovery &amp; access</w:t>
            </w:r>
          </w:p>
        </w:tc>
        <w:tc>
          <w:tcPr>
            <w:tcW w:type="dxa" w:w="1650"/>
          </w:tcPr>
          <w:p>
            <w:pPr>
              <w:widowControl/>
              <w:spacing w:after="0"/>
            </w:pPr>
            <w:r>
              <w:rPr>
                <w:rFonts w:ascii="Calibri" w:hAnsi="Calibri"/>
                <w:b w:val="0"/>
                <w:i w:val="0"/>
                <w:color w:val="172B4D"/>
                <w:sz w:val="18"/>
              </w:rPr>
              <w:t>3–5 weeks</w:t>
            </w:r>
          </w:p>
        </w:tc>
        <w:tc>
          <w:tcPr>
            <w:tcW w:type="dxa" w:w="5960"/>
          </w:tcPr>
          <w:p>
            <w:pPr>
              <w:widowControl/>
              <w:spacing w:after="0"/>
            </w:pPr>
            <w:r>
              <w:rPr>
                <w:rFonts w:ascii="Calibri" w:hAnsi="Calibri"/>
                <w:b w:val="0"/>
                <w:i w:val="0"/>
                <w:color w:val="172B4D"/>
                <w:sz w:val="18"/>
              </w:rPr>
              <w:t>Prioritised users, networks and sources; data/licence decisions; prototype; KPI dictionary; technical spikes; backlog and acceptance plan.</w:t>
            </w:r>
          </w:p>
        </w:tc>
      </w:tr>
      <w:tr>
        <w:tc>
          <w:tcPr>
            <w:tcW w:type="dxa" w:w="1750"/>
          </w:tcPr>
          <w:p>
            <w:pPr>
              <w:widowControl/>
              <w:spacing w:after="0"/>
            </w:pPr>
            <w:r>
              <w:rPr>
                <w:rFonts w:ascii="Calibri" w:hAnsi="Calibri"/>
                <w:b w:val="0"/>
                <w:i w:val="0"/>
                <w:color w:val="172B4D"/>
                <w:sz w:val="18"/>
              </w:rPr>
              <w:t>1. Operational MVP</w:t>
            </w:r>
          </w:p>
        </w:tc>
        <w:tc>
          <w:tcPr>
            <w:tcW w:type="dxa" w:w="1650"/>
          </w:tcPr>
          <w:p>
            <w:pPr>
              <w:widowControl/>
              <w:spacing w:after="0"/>
            </w:pPr>
            <w:r>
              <w:rPr>
                <w:rFonts w:ascii="Calibri" w:hAnsi="Calibri"/>
                <w:b w:val="0"/>
                <w:i w:val="0"/>
                <w:color w:val="172B4D"/>
                <w:sz w:val="18"/>
              </w:rPr>
              <w:t>14–18 weeks</w:t>
            </w:r>
          </w:p>
        </w:tc>
        <w:tc>
          <w:tcPr>
            <w:tcW w:type="dxa" w:w="5960"/>
          </w:tcPr>
          <w:p>
            <w:pPr>
              <w:widowControl/>
              <w:spacing w:after="0"/>
            </w:pPr>
            <w:r>
              <w:rPr>
                <w:rFonts w:ascii="Calibri" w:hAnsi="Calibri"/>
                <w:b w:val="0"/>
                <w:i w:val="0"/>
                <w:color w:val="172B4D"/>
                <w:sz w:val="18"/>
              </w:rPr>
              <w:t>Listen + alerts, case inbox, basic publish/approval, archive, KPI dashboard, reports, tenancy, audit and initial AI assistance.</w:t>
            </w:r>
          </w:p>
        </w:tc>
      </w:tr>
      <w:tr>
        <w:tc>
          <w:tcPr>
            <w:tcW w:type="dxa" w:w="1750"/>
          </w:tcPr>
          <w:p>
            <w:pPr>
              <w:widowControl/>
              <w:spacing w:after="0"/>
            </w:pPr>
            <w:r>
              <w:rPr>
                <w:rFonts w:ascii="Calibri" w:hAnsi="Calibri"/>
                <w:b w:val="0"/>
                <w:i w:val="0"/>
                <w:color w:val="172B4D"/>
                <w:sz w:val="18"/>
              </w:rPr>
              <w:t>2. Intelligence expansion</w:t>
            </w:r>
          </w:p>
        </w:tc>
        <w:tc>
          <w:tcPr>
            <w:tcW w:type="dxa" w:w="1650"/>
          </w:tcPr>
          <w:p>
            <w:pPr>
              <w:widowControl/>
              <w:spacing w:after="0"/>
            </w:pPr>
            <w:r>
              <w:rPr>
                <w:rFonts w:ascii="Calibri" w:hAnsi="Calibri"/>
                <w:b w:val="0"/>
                <w:i w:val="0"/>
                <w:color w:val="172B4D"/>
                <w:sz w:val="18"/>
              </w:rPr>
              <w:t>10–14 weeks</w:t>
            </w:r>
          </w:p>
        </w:tc>
        <w:tc>
          <w:tcPr>
            <w:tcW w:type="dxa" w:w="5960"/>
          </w:tcPr>
          <w:p>
            <w:pPr>
              <w:widowControl/>
              <w:spacing w:after="0"/>
            </w:pPr>
            <w:r>
              <w:rPr>
                <w:rFonts w:ascii="Calibri" w:hAnsi="Calibri"/>
                <w:b w:val="0"/>
                <w:i w:val="0"/>
                <w:color w:val="172B4D"/>
                <w:sz w:val="18"/>
              </w:rPr>
              <w:t>Narratives, advanced benchmarking, campaign workspace, crisis room, broader reports, local language evaluation and more connectors.</w:t>
            </w:r>
          </w:p>
        </w:tc>
      </w:tr>
      <w:tr>
        <w:tc>
          <w:tcPr>
            <w:tcW w:type="dxa" w:w="1750"/>
          </w:tcPr>
          <w:p>
            <w:pPr>
              <w:widowControl/>
              <w:spacing w:after="0"/>
            </w:pPr>
            <w:r>
              <w:rPr>
                <w:rFonts w:ascii="Calibri" w:hAnsi="Calibri"/>
                <w:b w:val="0"/>
                <w:i w:val="0"/>
                <w:color w:val="172B4D"/>
                <w:sz w:val="18"/>
              </w:rPr>
              <w:t>3. PR &amp; enterprise</w:t>
            </w:r>
          </w:p>
        </w:tc>
        <w:tc>
          <w:tcPr>
            <w:tcW w:type="dxa" w:w="1650"/>
          </w:tcPr>
          <w:p>
            <w:pPr>
              <w:widowControl/>
              <w:spacing w:after="0"/>
            </w:pPr>
            <w:r>
              <w:rPr>
                <w:rFonts w:ascii="Calibri" w:hAnsi="Calibri"/>
                <w:b w:val="0"/>
                <w:i w:val="0"/>
                <w:color w:val="172B4D"/>
                <w:sz w:val="18"/>
              </w:rPr>
              <w:t>12–18 weeks</w:t>
            </w:r>
          </w:p>
        </w:tc>
        <w:tc>
          <w:tcPr>
            <w:tcW w:type="dxa" w:w="5960"/>
          </w:tcPr>
          <w:p>
            <w:pPr>
              <w:widowControl/>
              <w:spacing w:after="0"/>
            </w:pPr>
            <w:r>
              <w:rPr>
                <w:rFonts w:ascii="Calibri" w:hAnsi="Calibri"/>
                <w:b w:val="0"/>
                <w:i w:val="0"/>
                <w:color w:val="172B4D"/>
                <w:sz w:val="18"/>
              </w:rPr>
              <w:t>Broadcast/podcast feeds, media CRM/outreach, SSO, advanced governance, client portal, BI/API and enterprise scale.</w:t>
            </w:r>
          </w:p>
        </w:tc>
      </w:tr>
      <w:tr>
        <w:tc>
          <w:tcPr>
            <w:tcW w:type="dxa" w:w="1750"/>
          </w:tcPr>
          <w:p>
            <w:pPr>
              <w:widowControl/>
              <w:spacing w:after="0"/>
            </w:pPr>
            <w:r>
              <w:rPr>
                <w:rFonts w:ascii="Calibri" w:hAnsi="Calibri"/>
                <w:b w:val="0"/>
                <w:i w:val="0"/>
                <w:color w:val="172B4D"/>
                <w:sz w:val="18"/>
              </w:rPr>
              <w:t>4. Optimisation</w:t>
            </w:r>
          </w:p>
        </w:tc>
        <w:tc>
          <w:tcPr>
            <w:tcW w:type="dxa" w:w="1650"/>
          </w:tcPr>
          <w:p>
            <w:pPr>
              <w:widowControl/>
              <w:spacing w:after="0"/>
            </w:pPr>
            <w:r>
              <w:rPr>
                <w:rFonts w:ascii="Calibri" w:hAnsi="Calibri"/>
                <w:b w:val="0"/>
                <w:i w:val="0"/>
                <w:color w:val="172B4D"/>
                <w:sz w:val="18"/>
              </w:rPr>
              <w:t>Ongoing</w:t>
            </w:r>
          </w:p>
        </w:tc>
        <w:tc>
          <w:tcPr>
            <w:tcW w:type="dxa" w:w="5960"/>
          </w:tcPr>
          <w:p>
            <w:pPr>
              <w:widowControl/>
              <w:spacing w:after="0"/>
            </w:pPr>
            <w:r>
              <w:rPr>
                <w:rFonts w:ascii="Calibri" w:hAnsi="Calibri"/>
                <w:b w:val="0"/>
                <w:i w:val="0"/>
                <w:color w:val="172B4D"/>
                <w:sz w:val="18"/>
              </w:rPr>
              <w:t>Influence/paid modules, forecasting, automation policies, marketplace connectors and deeper vertical solutions.</w:t>
            </w:r>
          </w:p>
        </w:tc>
      </w:tr>
    </w:tbl>
    <w:p>
      <w:pPr>
        <w:widowControl/>
        <w:spacing w:after="0"/>
      </w:pPr>
    </w:p>
    <w:p>
      <w:pPr>
        <w:widowControl/>
      </w:pPr>
      <w:r>
        <w:rPr>
          <w:rFonts w:ascii="Calibri" w:hAnsi="Calibri"/>
          <w:b w:val="0"/>
          <w:i w:val="0"/>
          <w:color w:val="172B4D"/>
          <w:sz w:val="22"/>
        </w:rPr>
        <w:t>These are planning ranges, not a fixed quotation. Timing depends heavily on platform app approvals, data-provider contracts, number of networks, archive rights, required legacy imports and whether the team uses managed cloud services.</w:t>
      </w:r>
    </w:p>
    <w:p>
      <w:pPr>
        <w:pStyle w:val="Heading2"/>
        <w:widowControl/>
      </w:pPr>
      <w:r>
        <w:t>17.1 Recommended product team</w:t>
      </w:r>
    </w:p>
    <w:p>
      <w:pPr>
        <w:pStyle w:val="ListBullet"/>
        <w:widowControl/>
      </w:pPr>
      <w:r>
        <w:rPr>
          <w:rFonts w:ascii="Calibri" w:hAnsi="Calibri"/>
          <w:b w:val="0"/>
          <w:i w:val="0"/>
          <w:color w:val="172B4D"/>
          <w:sz w:val="22"/>
        </w:rPr>
        <w:t>Product lead / domain owner.</w:t>
      </w:r>
    </w:p>
    <w:p>
      <w:pPr>
        <w:pStyle w:val="ListBullet"/>
        <w:widowControl/>
      </w:pPr>
      <w:r>
        <w:rPr>
          <w:rFonts w:ascii="Calibri" w:hAnsi="Calibri"/>
          <w:b w:val="0"/>
          <w:i w:val="0"/>
          <w:color w:val="172B4D"/>
          <w:sz w:val="22"/>
        </w:rPr>
        <w:t>UX/product designer with dashboard and workflow experience.</w:t>
      </w:r>
    </w:p>
    <w:p>
      <w:pPr>
        <w:pStyle w:val="ListBullet"/>
        <w:widowControl/>
      </w:pPr>
      <w:r>
        <w:rPr>
          <w:rFonts w:ascii="Calibri" w:hAnsi="Calibri"/>
          <w:b w:val="0"/>
          <w:i w:val="0"/>
          <w:color w:val="172B4D"/>
          <w:sz w:val="22"/>
        </w:rPr>
        <w:t>Technical architect / lead engineer.</w:t>
      </w:r>
    </w:p>
    <w:p>
      <w:pPr>
        <w:pStyle w:val="ListBullet"/>
        <w:widowControl/>
      </w:pPr>
      <w:r>
        <w:rPr>
          <w:rFonts w:ascii="Calibri" w:hAnsi="Calibri"/>
          <w:b w:val="0"/>
          <w:i w:val="0"/>
          <w:color w:val="172B4D"/>
          <w:sz w:val="22"/>
        </w:rPr>
        <w:t>Two to four full-stack engineers plus data/integration engineer.</w:t>
      </w:r>
    </w:p>
    <w:p>
      <w:pPr>
        <w:pStyle w:val="ListBullet"/>
        <w:widowControl/>
      </w:pPr>
      <w:r>
        <w:rPr>
          <w:rFonts w:ascii="Calibri" w:hAnsi="Calibri"/>
          <w:b w:val="0"/>
          <w:i w:val="0"/>
          <w:color w:val="172B4D"/>
          <w:sz w:val="22"/>
        </w:rPr>
        <w:t>Data/ML engineer or applied AI engineer.</w:t>
      </w:r>
    </w:p>
    <w:p>
      <w:pPr>
        <w:pStyle w:val="ListBullet"/>
        <w:widowControl/>
      </w:pPr>
      <w:r>
        <w:rPr>
          <w:rFonts w:ascii="Calibri" w:hAnsi="Calibri"/>
          <w:b w:val="0"/>
          <w:i w:val="0"/>
          <w:color w:val="172B4D"/>
          <w:sz w:val="22"/>
        </w:rPr>
        <w:t>QA automation and release engineer.</w:t>
      </w:r>
    </w:p>
    <w:p>
      <w:pPr>
        <w:pStyle w:val="ListBullet"/>
        <w:widowControl/>
      </w:pPr>
      <w:r>
        <w:rPr>
          <w:rFonts w:ascii="Calibri" w:hAnsi="Calibri"/>
          <w:b w:val="0"/>
          <w:i w:val="0"/>
          <w:color w:val="172B4D"/>
          <w:sz w:val="22"/>
        </w:rPr>
        <w:t>DevOps/security support.</w:t>
      </w:r>
    </w:p>
    <w:p>
      <w:pPr>
        <w:pStyle w:val="ListBullet"/>
        <w:widowControl/>
      </w:pPr>
      <w:r>
        <w:rPr>
          <w:rFonts w:ascii="Calibri" w:hAnsi="Calibri"/>
          <w:b w:val="0"/>
          <w:i w:val="0"/>
          <w:color w:val="172B4D"/>
          <w:sz w:val="22"/>
        </w:rPr>
        <w:t>Media analyst and community-management subject-matter experts for validation.</w:t>
      </w:r>
    </w:p>
    <w:p>
      <w:pPr>
        <w:pStyle w:val="Heading1"/>
        <w:pageBreakBefore/>
        <w:widowControl/>
      </w:pPr>
      <w:r>
        <w:t>18. MVP acceptance criteria</w:t>
      </w:r>
    </w:p>
    <w:tbl>
      <w:tblPr>
        <w:tblW w:type="dxa" w:w="9360"/>
        <w:jc w:val="left"/>
        <w:tblLayout w:type="fixed"/>
        <w:tblLook w:firstColumn="1" w:firstRow="1" w:lastColumn="0" w:lastRow="0" w:noHBand="0" w:noVBand="1" w:val="04A0"/>
        <w:tblInd w:w="120" w:type="dxa"/>
        <w:tblBorders>
          <w:top w:val="single" w:sz="5" w:color="D0D5DD"/>
          <w:left w:val="single" w:sz="5" w:color="D0D5DD"/>
          <w:bottom w:val="single" w:sz="5" w:color="D0D5DD"/>
          <w:right w:val="single" w:sz="5" w:color="D0D5DD"/>
          <w:insideH w:val="single" w:sz="5" w:color="D0D5DD"/>
          <w:insideV w:val="single" w:sz="5" w:color="D0D5DD"/>
        </w:tblBorders>
      </w:tblPr>
      <w:tblGrid>
        <w:gridCol w:w="1800"/>
        <w:gridCol w:w="7560"/>
      </w:tblGrid>
      <w:tr>
        <w:trPr>
          <w:tblHeader w:val="true"/>
        </w:trPr>
        <w:tc>
          <w:tcPr>
            <w:tcW w:type="dxa" w:w="1800"/>
            <w:vAlign w:val="center"/>
            <w:tcMar>
              <w:top w:w="80" w:type="dxa"/>
              <w:start w:w="120" w:type="dxa"/>
              <w:bottom w:w="80" w:type="dxa"/>
              <w:end w:w="120" w:type="dxa"/>
            </w:tcMar>
            <w:shd w:fill="F2F4F7"/>
          </w:tcPr>
          <w:p>
            <w:pPr>
              <w:widowControl/>
              <w:spacing w:after="0"/>
            </w:pPr>
            <w:r>
              <w:rPr>
                <w:rFonts w:ascii="Calibri" w:hAnsi="Calibri"/>
                <w:b/>
                <w:i w:val="0"/>
                <w:color w:val="0B2545"/>
                <w:sz w:val="18"/>
              </w:rPr>
              <w:t>Scenario</w:t>
            </w:r>
          </w:p>
        </w:tc>
        <w:tc>
          <w:tcPr>
            <w:tcW w:type="dxa" w:w="7560"/>
            <w:vAlign w:val="center"/>
            <w:tcMar>
              <w:top w:w="80" w:type="dxa"/>
              <w:start w:w="120" w:type="dxa"/>
              <w:bottom w:w="80" w:type="dxa"/>
              <w:end w:w="120" w:type="dxa"/>
            </w:tcMar>
            <w:shd w:fill="F2F4F7"/>
          </w:tcPr>
          <w:p>
            <w:pPr>
              <w:widowControl/>
              <w:spacing w:after="0"/>
            </w:pPr>
            <w:r>
              <w:rPr>
                <w:rFonts w:ascii="Calibri" w:hAnsi="Calibri"/>
                <w:b/>
                <w:i w:val="0"/>
                <w:color w:val="0B2545"/>
                <w:sz w:val="18"/>
              </w:rPr>
              <w:t>Acceptance signal</w:t>
            </w:r>
          </w:p>
        </w:tc>
      </w:tr>
      <w:tr>
        <w:tc>
          <w:tcPr>
            <w:tcW w:type="dxa" w:w="1800"/>
          </w:tcPr>
          <w:p>
            <w:pPr>
              <w:widowControl/>
              <w:spacing w:after="0"/>
            </w:pPr>
            <w:r>
              <w:rPr>
                <w:rFonts w:ascii="Calibri" w:hAnsi="Calibri"/>
                <w:b w:val="0"/>
                <w:i w:val="0"/>
                <w:color w:val="172B4D"/>
                <w:sz w:val="18"/>
              </w:rPr>
              <w:t>Monitor</w:t>
            </w:r>
          </w:p>
        </w:tc>
        <w:tc>
          <w:tcPr>
            <w:tcW w:type="dxa" w:w="7560"/>
          </w:tcPr>
          <w:p>
            <w:pPr>
              <w:widowControl/>
              <w:spacing w:after="0"/>
            </w:pPr>
            <w:r>
              <w:rPr>
                <w:rFonts w:ascii="Calibri" w:hAnsi="Calibri"/>
                <w:b w:val="0"/>
                <w:i w:val="0"/>
                <w:color w:val="172B4D"/>
                <w:sz w:val="18"/>
              </w:rPr>
              <w:t>Authorised user can create a monitor, preview results, save it, receive a threshold alert and drill into evidence.</w:t>
            </w:r>
          </w:p>
        </w:tc>
      </w:tr>
      <w:tr>
        <w:tc>
          <w:tcPr>
            <w:tcW w:type="dxa" w:w="1800"/>
          </w:tcPr>
          <w:p>
            <w:pPr>
              <w:widowControl/>
              <w:spacing w:after="0"/>
            </w:pPr>
            <w:r>
              <w:rPr>
                <w:rFonts w:ascii="Calibri" w:hAnsi="Calibri"/>
                <w:b w:val="0"/>
                <w:i w:val="0"/>
                <w:color w:val="172B4D"/>
                <w:sz w:val="18"/>
              </w:rPr>
              <w:t>Triage</w:t>
            </w:r>
          </w:p>
        </w:tc>
        <w:tc>
          <w:tcPr>
            <w:tcW w:type="dxa" w:w="7560"/>
          </w:tcPr>
          <w:p>
            <w:pPr>
              <w:widowControl/>
              <w:spacing w:after="0"/>
            </w:pPr>
            <w:r>
              <w:rPr>
                <w:rFonts w:ascii="Calibri" w:hAnsi="Calibri"/>
                <w:b w:val="0"/>
                <w:i w:val="0"/>
                <w:color w:val="172B4D"/>
                <w:sz w:val="18"/>
              </w:rPr>
              <w:t>Alert or inbound item creates/joins a case, routes to the correct queue and starts the correct SLA.</w:t>
            </w:r>
          </w:p>
        </w:tc>
      </w:tr>
      <w:tr>
        <w:tc>
          <w:tcPr>
            <w:tcW w:type="dxa" w:w="1800"/>
          </w:tcPr>
          <w:p>
            <w:pPr>
              <w:widowControl/>
              <w:spacing w:after="0"/>
            </w:pPr>
            <w:r>
              <w:rPr>
                <w:rFonts w:ascii="Calibri" w:hAnsi="Calibri"/>
                <w:b w:val="0"/>
                <w:i w:val="0"/>
                <w:color w:val="172B4D"/>
                <w:sz w:val="18"/>
              </w:rPr>
              <w:t>Respond</w:t>
            </w:r>
          </w:p>
        </w:tc>
        <w:tc>
          <w:tcPr>
            <w:tcW w:type="dxa" w:w="7560"/>
          </w:tcPr>
          <w:p>
            <w:pPr>
              <w:widowControl/>
              <w:spacing w:after="0"/>
            </w:pPr>
            <w:r>
              <w:rPr>
                <w:rFonts w:ascii="Calibri" w:hAnsi="Calibri"/>
                <w:b w:val="0"/>
                <w:i w:val="0"/>
                <w:color w:val="172B4D"/>
                <w:sz w:val="18"/>
              </w:rPr>
              <w:t>Owner can review context, draft, request approval, publish/send through a supported channel and record the outcome.</w:t>
            </w:r>
          </w:p>
        </w:tc>
      </w:tr>
      <w:tr>
        <w:tc>
          <w:tcPr>
            <w:tcW w:type="dxa" w:w="1800"/>
          </w:tcPr>
          <w:p>
            <w:pPr>
              <w:widowControl/>
              <w:spacing w:after="0"/>
            </w:pPr>
            <w:r>
              <w:rPr>
                <w:rFonts w:ascii="Calibri" w:hAnsi="Calibri"/>
                <w:b w:val="0"/>
                <w:i w:val="0"/>
                <w:color w:val="172B4D"/>
                <w:sz w:val="18"/>
              </w:rPr>
              <w:t>Publish</w:t>
            </w:r>
          </w:p>
        </w:tc>
        <w:tc>
          <w:tcPr>
            <w:tcW w:type="dxa" w:w="7560"/>
          </w:tcPr>
          <w:p>
            <w:pPr>
              <w:widowControl/>
              <w:spacing w:after="0"/>
            </w:pPr>
            <w:r>
              <w:rPr>
                <w:rFonts w:ascii="Calibri" w:hAnsi="Calibri"/>
                <w:b w:val="0"/>
                <w:i w:val="0"/>
                <w:color w:val="172B4D"/>
                <w:sz w:val="18"/>
              </w:rPr>
              <w:t>Approved network variants schedule successfully; failures are actionable; published identifiers and final assets reconcile.</w:t>
            </w:r>
          </w:p>
        </w:tc>
      </w:tr>
      <w:tr>
        <w:tc>
          <w:tcPr>
            <w:tcW w:type="dxa" w:w="1800"/>
          </w:tcPr>
          <w:p>
            <w:pPr>
              <w:widowControl/>
              <w:spacing w:after="0"/>
            </w:pPr>
            <w:r>
              <w:rPr>
                <w:rFonts w:ascii="Calibri" w:hAnsi="Calibri"/>
                <w:b w:val="0"/>
                <w:i w:val="0"/>
                <w:color w:val="172B4D"/>
                <w:sz w:val="18"/>
              </w:rPr>
              <w:t>Archive</w:t>
            </w:r>
          </w:p>
        </w:tc>
        <w:tc>
          <w:tcPr>
            <w:tcW w:type="dxa" w:w="7560"/>
          </w:tcPr>
          <w:p>
            <w:pPr>
              <w:widowControl/>
              <w:spacing w:after="0"/>
            </w:pPr>
            <w:r>
              <w:rPr>
                <w:rFonts w:ascii="Calibri" w:hAnsi="Calibri"/>
                <w:b w:val="0"/>
                <w:i w:val="0"/>
                <w:color w:val="172B4D"/>
                <w:sz w:val="18"/>
              </w:rPr>
              <w:t>Final content, approval trail and permitted source evidence are searchable and export with manifest and integrity metadata.</w:t>
            </w:r>
          </w:p>
        </w:tc>
      </w:tr>
      <w:tr>
        <w:tc>
          <w:tcPr>
            <w:tcW w:type="dxa" w:w="1800"/>
          </w:tcPr>
          <w:p>
            <w:pPr>
              <w:widowControl/>
              <w:spacing w:after="0"/>
            </w:pPr>
            <w:r>
              <w:rPr>
                <w:rFonts w:ascii="Calibri" w:hAnsi="Calibri"/>
                <w:b w:val="0"/>
                <w:i w:val="0"/>
                <w:color w:val="172B4D"/>
                <w:sz w:val="18"/>
              </w:rPr>
              <w:t>Measure</w:t>
            </w:r>
          </w:p>
        </w:tc>
        <w:tc>
          <w:tcPr>
            <w:tcW w:type="dxa" w:w="7560"/>
          </w:tcPr>
          <w:p>
            <w:pPr>
              <w:widowControl/>
              <w:spacing w:after="0"/>
            </w:pPr>
            <w:r>
              <w:rPr>
                <w:rFonts w:ascii="Calibri" w:hAnsi="Calibri"/>
                <w:b w:val="0"/>
                <w:i w:val="0"/>
                <w:color w:val="172B4D"/>
                <w:sz w:val="18"/>
              </w:rPr>
              <w:t>KPI value can be reproduced from visible formula, filters and source records.</w:t>
            </w:r>
          </w:p>
        </w:tc>
      </w:tr>
      <w:tr>
        <w:tc>
          <w:tcPr>
            <w:tcW w:type="dxa" w:w="1800"/>
          </w:tcPr>
          <w:p>
            <w:pPr>
              <w:widowControl/>
              <w:spacing w:after="0"/>
            </w:pPr>
            <w:r>
              <w:rPr>
                <w:rFonts w:ascii="Calibri" w:hAnsi="Calibri"/>
                <w:b w:val="0"/>
                <w:i w:val="0"/>
                <w:color w:val="172B4D"/>
                <w:sz w:val="18"/>
              </w:rPr>
              <w:t>Report</w:t>
            </w:r>
          </w:p>
        </w:tc>
        <w:tc>
          <w:tcPr>
            <w:tcW w:type="dxa" w:w="7560"/>
          </w:tcPr>
          <w:p>
            <w:pPr>
              <w:widowControl/>
              <w:spacing w:after="0"/>
            </w:pPr>
            <w:r>
              <w:rPr>
                <w:rFonts w:ascii="Calibri" w:hAnsi="Calibri"/>
                <w:b w:val="0"/>
                <w:i w:val="0"/>
                <w:color w:val="172B4D"/>
                <w:sz w:val="18"/>
              </w:rPr>
              <w:t>A scheduled report uses a locked data cut-off, contains source-linked narrative and records its approver.</w:t>
            </w:r>
          </w:p>
        </w:tc>
      </w:tr>
      <w:tr>
        <w:tc>
          <w:tcPr>
            <w:tcW w:type="dxa" w:w="1800"/>
          </w:tcPr>
          <w:p>
            <w:pPr>
              <w:widowControl/>
              <w:spacing w:after="0"/>
            </w:pPr>
            <w:r>
              <w:rPr>
                <w:rFonts w:ascii="Calibri" w:hAnsi="Calibri"/>
                <w:b w:val="0"/>
                <w:i w:val="0"/>
                <w:color w:val="172B4D"/>
                <w:sz w:val="18"/>
              </w:rPr>
              <w:t>Secure</w:t>
            </w:r>
          </w:p>
        </w:tc>
        <w:tc>
          <w:tcPr>
            <w:tcW w:type="dxa" w:w="7560"/>
          </w:tcPr>
          <w:p>
            <w:pPr>
              <w:widowControl/>
              <w:spacing w:after="0"/>
            </w:pPr>
            <w:r>
              <w:rPr>
                <w:rFonts w:ascii="Calibri" w:hAnsi="Calibri"/>
                <w:b w:val="0"/>
                <w:i w:val="0"/>
                <w:color w:val="172B4D"/>
                <w:sz w:val="18"/>
              </w:rPr>
              <w:t>Cross-tenant access tests fail; privileged actions are audited; revoked platform tokens stop use immediately.</w:t>
            </w:r>
          </w:p>
        </w:tc>
      </w:tr>
      <w:tr>
        <w:tc>
          <w:tcPr>
            <w:tcW w:type="dxa" w:w="1800"/>
          </w:tcPr>
          <w:p>
            <w:pPr>
              <w:widowControl/>
              <w:spacing w:after="0"/>
            </w:pPr>
            <w:r>
              <w:rPr>
                <w:rFonts w:ascii="Calibri" w:hAnsi="Calibri"/>
                <w:b w:val="0"/>
                <w:i w:val="0"/>
                <w:color w:val="172B4D"/>
                <w:sz w:val="18"/>
              </w:rPr>
              <w:t>Degrade</w:t>
            </w:r>
          </w:p>
        </w:tc>
        <w:tc>
          <w:tcPr>
            <w:tcW w:type="dxa" w:w="7560"/>
          </w:tcPr>
          <w:p>
            <w:pPr>
              <w:widowControl/>
              <w:spacing w:after="0"/>
            </w:pPr>
            <w:r>
              <w:rPr>
                <w:rFonts w:ascii="Calibri" w:hAnsi="Calibri"/>
                <w:b w:val="0"/>
                <w:i w:val="0"/>
                <w:color w:val="172B4D"/>
                <w:sz w:val="18"/>
              </w:rPr>
              <w:t>One failed connector does not prevent unrelated monitoring, publishing or archive access.</w:t>
            </w:r>
          </w:p>
        </w:tc>
      </w:tr>
      <w:tr>
        <w:tc>
          <w:tcPr>
            <w:tcW w:type="dxa" w:w="1800"/>
          </w:tcPr>
          <w:p>
            <w:pPr>
              <w:widowControl/>
              <w:spacing w:after="0"/>
            </w:pPr>
            <w:r>
              <w:rPr>
                <w:rFonts w:ascii="Calibri" w:hAnsi="Calibri"/>
                <w:b w:val="0"/>
                <w:i w:val="0"/>
                <w:color w:val="172B4D"/>
                <w:sz w:val="18"/>
              </w:rPr>
              <w:t>Accessible</w:t>
            </w:r>
          </w:p>
        </w:tc>
        <w:tc>
          <w:tcPr>
            <w:tcW w:type="dxa" w:w="7560"/>
          </w:tcPr>
          <w:p>
            <w:pPr>
              <w:widowControl/>
              <w:spacing w:after="0"/>
            </w:pPr>
            <w:r>
              <w:rPr>
                <w:rFonts w:ascii="Calibri" w:hAnsi="Calibri"/>
                <w:b w:val="0"/>
                <w:i w:val="0"/>
                <w:color w:val="172B4D"/>
                <w:sz w:val="18"/>
              </w:rPr>
              <w:t>Critical flows pass keyboard-only and screen-reader checks against the agreed WCAG target.</w:t>
            </w:r>
          </w:p>
        </w:tc>
      </w:tr>
    </w:tbl>
    <w:p>
      <w:pPr>
        <w:widowControl/>
        <w:spacing w:after="0"/>
      </w:pPr>
    </w:p>
    <w:p>
      <w:pPr>
        <w:pStyle w:val="Heading1"/>
        <w:pageBreakBefore/>
        <w:widowControl/>
      </w:pPr>
      <w:r>
        <w:t>19. Key risks and mitigations</w:t>
      </w:r>
    </w:p>
    <w:tbl>
      <w:tblPr>
        <w:tblW w:type="dxa" w:w="9360"/>
        <w:jc w:val="left"/>
        <w:tblLayout w:type="fixed"/>
        <w:tblLook w:firstColumn="1" w:firstRow="1" w:lastColumn="0" w:lastRow="0" w:noHBand="0" w:noVBand="1" w:val="04A0"/>
        <w:tblInd w:w="120" w:type="dxa"/>
        <w:tblBorders>
          <w:top w:val="single" w:sz="5" w:color="D0D5DD"/>
          <w:left w:val="single" w:sz="5" w:color="D0D5DD"/>
          <w:bottom w:val="single" w:sz="5" w:color="D0D5DD"/>
          <w:right w:val="single" w:sz="5" w:color="D0D5DD"/>
          <w:insideH w:val="single" w:sz="5" w:color="D0D5DD"/>
          <w:insideV w:val="single" w:sz="5" w:color="D0D5DD"/>
        </w:tblBorders>
      </w:tblPr>
      <w:tblGrid>
        <w:gridCol w:w="1850"/>
        <w:gridCol w:w="3100"/>
        <w:gridCol w:w="4410"/>
      </w:tblGrid>
      <w:tr>
        <w:trPr>
          <w:tblHeader w:val="true"/>
        </w:trPr>
        <w:tc>
          <w:tcPr>
            <w:tcW w:type="dxa" w:w="1850"/>
            <w:vAlign w:val="center"/>
            <w:tcMar>
              <w:top w:w="80" w:type="dxa"/>
              <w:start w:w="120" w:type="dxa"/>
              <w:bottom w:w="80" w:type="dxa"/>
              <w:end w:w="120" w:type="dxa"/>
            </w:tcMar>
            <w:shd w:fill="F2F4F7"/>
          </w:tcPr>
          <w:p>
            <w:pPr>
              <w:widowControl/>
              <w:spacing w:after="0"/>
            </w:pPr>
            <w:r>
              <w:rPr>
                <w:rFonts w:ascii="Calibri" w:hAnsi="Calibri"/>
                <w:b/>
                <w:i w:val="0"/>
                <w:color w:val="0B2545"/>
                <w:sz w:val="17"/>
              </w:rPr>
              <w:t>Risk</w:t>
            </w:r>
          </w:p>
        </w:tc>
        <w:tc>
          <w:tcPr>
            <w:tcW w:type="dxa" w:w="3100"/>
            <w:vAlign w:val="center"/>
            <w:tcMar>
              <w:top w:w="80" w:type="dxa"/>
              <w:start w:w="120" w:type="dxa"/>
              <w:bottom w:w="80" w:type="dxa"/>
              <w:end w:w="120" w:type="dxa"/>
            </w:tcMar>
            <w:shd w:fill="F2F4F7"/>
          </w:tcPr>
          <w:p>
            <w:pPr>
              <w:widowControl/>
              <w:spacing w:after="0"/>
            </w:pPr>
            <w:r>
              <w:rPr>
                <w:rFonts w:ascii="Calibri" w:hAnsi="Calibri"/>
                <w:b/>
                <w:i w:val="0"/>
                <w:color w:val="0B2545"/>
                <w:sz w:val="17"/>
              </w:rPr>
              <w:t>Why it matters</w:t>
            </w:r>
          </w:p>
        </w:tc>
        <w:tc>
          <w:tcPr>
            <w:tcW w:type="dxa" w:w="4410"/>
            <w:vAlign w:val="center"/>
            <w:tcMar>
              <w:top w:w="80" w:type="dxa"/>
              <w:start w:w="120" w:type="dxa"/>
              <w:bottom w:w="80" w:type="dxa"/>
              <w:end w:w="120" w:type="dxa"/>
            </w:tcMar>
            <w:shd w:fill="F2F4F7"/>
          </w:tcPr>
          <w:p>
            <w:pPr>
              <w:widowControl/>
              <w:spacing w:after="0"/>
            </w:pPr>
            <w:r>
              <w:rPr>
                <w:rFonts w:ascii="Calibri" w:hAnsi="Calibri"/>
                <w:b/>
                <w:i w:val="0"/>
                <w:color w:val="0B2545"/>
                <w:sz w:val="17"/>
              </w:rPr>
              <w:t>Mitigation</w:t>
            </w:r>
          </w:p>
        </w:tc>
      </w:tr>
      <w:tr>
        <w:tc>
          <w:tcPr>
            <w:tcW w:type="dxa" w:w="1850"/>
          </w:tcPr>
          <w:p>
            <w:pPr>
              <w:widowControl/>
              <w:spacing w:after="0"/>
            </w:pPr>
            <w:r>
              <w:rPr>
                <w:rFonts w:ascii="Calibri" w:hAnsi="Calibri"/>
                <w:b w:val="0"/>
                <w:i w:val="0"/>
                <w:color w:val="172B4D"/>
                <w:sz w:val="17"/>
              </w:rPr>
              <w:t>API and licensing dependency</w:t>
            </w:r>
          </w:p>
        </w:tc>
        <w:tc>
          <w:tcPr>
            <w:tcW w:type="dxa" w:w="3100"/>
          </w:tcPr>
          <w:p>
            <w:pPr>
              <w:widowControl/>
              <w:spacing w:after="0"/>
            </w:pPr>
            <w:r>
              <w:rPr>
                <w:rFonts w:ascii="Calibri" w:hAnsi="Calibri"/>
                <w:b w:val="0"/>
                <w:i w:val="0"/>
                <w:color w:val="172B4D"/>
                <w:sz w:val="17"/>
              </w:rPr>
              <w:t>Coverage, features and costs may change.</w:t>
            </w:r>
          </w:p>
        </w:tc>
        <w:tc>
          <w:tcPr>
            <w:tcW w:type="dxa" w:w="4410"/>
          </w:tcPr>
          <w:p>
            <w:pPr>
              <w:widowControl/>
              <w:spacing w:after="0"/>
            </w:pPr>
            <w:r>
              <w:rPr>
                <w:rFonts w:ascii="Calibri" w:hAnsi="Calibri"/>
                <w:b w:val="0"/>
                <w:i w:val="0"/>
                <w:color w:val="172B4D"/>
                <w:sz w:val="17"/>
              </w:rPr>
              <w:t>Connector abstraction, entitlement registry, multiple providers and contract review.</w:t>
            </w:r>
          </w:p>
        </w:tc>
      </w:tr>
      <w:tr>
        <w:tc>
          <w:tcPr>
            <w:tcW w:type="dxa" w:w="1850"/>
          </w:tcPr>
          <w:p>
            <w:pPr>
              <w:widowControl/>
              <w:spacing w:after="0"/>
            </w:pPr>
            <w:r>
              <w:rPr>
                <w:rFonts w:ascii="Calibri" w:hAnsi="Calibri"/>
                <w:b w:val="0"/>
                <w:i w:val="0"/>
                <w:color w:val="172B4D"/>
                <w:sz w:val="17"/>
              </w:rPr>
              <w:t>Overpromised coverage</w:t>
            </w:r>
          </w:p>
        </w:tc>
        <w:tc>
          <w:tcPr>
            <w:tcW w:type="dxa" w:w="3100"/>
          </w:tcPr>
          <w:p>
            <w:pPr>
              <w:widowControl/>
              <w:spacing w:after="0"/>
            </w:pPr>
            <w:r>
              <w:rPr>
                <w:rFonts w:ascii="Calibri" w:hAnsi="Calibri"/>
                <w:b w:val="0"/>
                <w:i w:val="0"/>
                <w:color w:val="172B4D"/>
                <w:sz w:val="17"/>
              </w:rPr>
              <w:t>Users lose trust when “all media” has gaps.</w:t>
            </w:r>
          </w:p>
        </w:tc>
        <w:tc>
          <w:tcPr>
            <w:tcW w:type="dxa" w:w="4410"/>
          </w:tcPr>
          <w:p>
            <w:pPr>
              <w:widowControl/>
              <w:spacing w:after="0"/>
            </w:pPr>
            <w:r>
              <w:rPr>
                <w:rFonts w:ascii="Calibri" w:hAnsi="Calibri"/>
                <w:b w:val="0"/>
                <w:i w:val="0"/>
                <w:color w:val="172B4D"/>
                <w:sz w:val="17"/>
              </w:rPr>
              <w:t>Publish source matrix, last-sync health and known limitations per plan.</w:t>
            </w:r>
          </w:p>
        </w:tc>
      </w:tr>
      <w:tr>
        <w:tc>
          <w:tcPr>
            <w:tcW w:type="dxa" w:w="1850"/>
          </w:tcPr>
          <w:p>
            <w:pPr>
              <w:widowControl/>
              <w:spacing w:after="0"/>
            </w:pPr>
            <w:r>
              <w:rPr>
                <w:rFonts w:ascii="Calibri" w:hAnsi="Calibri"/>
                <w:b w:val="0"/>
                <w:i w:val="0"/>
                <w:color w:val="172B4D"/>
                <w:sz w:val="17"/>
              </w:rPr>
              <w:t>Noisy alerts</w:t>
            </w:r>
          </w:p>
        </w:tc>
        <w:tc>
          <w:tcPr>
            <w:tcW w:type="dxa" w:w="3100"/>
          </w:tcPr>
          <w:p>
            <w:pPr>
              <w:widowControl/>
              <w:spacing w:after="0"/>
            </w:pPr>
            <w:r>
              <w:rPr>
                <w:rFonts w:ascii="Calibri" w:hAnsi="Calibri"/>
                <w:b w:val="0"/>
                <w:i w:val="0"/>
                <w:color w:val="172B4D"/>
                <w:sz w:val="17"/>
              </w:rPr>
              <w:t>Teams ignore the platform.</w:t>
            </w:r>
          </w:p>
        </w:tc>
        <w:tc>
          <w:tcPr>
            <w:tcW w:type="dxa" w:w="4410"/>
          </w:tcPr>
          <w:p>
            <w:pPr>
              <w:widowControl/>
              <w:spacing w:after="0"/>
            </w:pPr>
            <w:r>
              <w:rPr>
                <w:rFonts w:ascii="Calibri" w:hAnsi="Calibri"/>
                <w:b w:val="0"/>
                <w:i w:val="0"/>
                <w:color w:val="172B4D"/>
                <w:sz w:val="17"/>
              </w:rPr>
              <w:t>Baseline/anomaly logic, source diversity, severity tuning and feedback loops.</w:t>
            </w:r>
          </w:p>
        </w:tc>
      </w:tr>
      <w:tr>
        <w:tc>
          <w:tcPr>
            <w:tcW w:type="dxa" w:w="1850"/>
          </w:tcPr>
          <w:p>
            <w:pPr>
              <w:widowControl/>
              <w:spacing w:after="0"/>
            </w:pPr>
            <w:r>
              <w:rPr>
                <w:rFonts w:ascii="Calibri" w:hAnsi="Calibri"/>
                <w:b w:val="0"/>
                <w:i w:val="0"/>
                <w:color w:val="172B4D"/>
                <w:sz w:val="17"/>
              </w:rPr>
              <w:t>Sentiment errors</w:t>
            </w:r>
          </w:p>
        </w:tc>
        <w:tc>
          <w:tcPr>
            <w:tcW w:type="dxa" w:w="3100"/>
          </w:tcPr>
          <w:p>
            <w:pPr>
              <w:widowControl/>
              <w:spacing w:after="0"/>
            </w:pPr>
            <w:r>
              <w:rPr>
                <w:rFonts w:ascii="Calibri" w:hAnsi="Calibri"/>
                <w:b w:val="0"/>
                <w:i w:val="0"/>
                <w:color w:val="172B4D"/>
                <w:sz w:val="17"/>
              </w:rPr>
              <w:t>Sarcasm, local languages and context distort results.</w:t>
            </w:r>
          </w:p>
        </w:tc>
        <w:tc>
          <w:tcPr>
            <w:tcW w:type="dxa" w:w="4410"/>
          </w:tcPr>
          <w:p>
            <w:pPr>
              <w:widowControl/>
              <w:spacing w:after="0"/>
            </w:pPr>
            <w:r>
              <w:rPr>
                <w:rFonts w:ascii="Calibri" w:hAnsi="Calibri"/>
                <w:b w:val="0"/>
                <w:i w:val="0"/>
                <w:color w:val="172B4D"/>
                <w:sz w:val="17"/>
              </w:rPr>
              <w:t>Directional use, local evaluation, confidence, examples and analyst override.</w:t>
            </w:r>
          </w:p>
        </w:tc>
      </w:tr>
      <w:tr>
        <w:tc>
          <w:tcPr>
            <w:tcW w:type="dxa" w:w="1850"/>
          </w:tcPr>
          <w:p>
            <w:pPr>
              <w:widowControl/>
              <w:spacing w:after="0"/>
            </w:pPr>
            <w:r>
              <w:rPr>
                <w:rFonts w:ascii="Calibri" w:hAnsi="Calibri"/>
                <w:b w:val="0"/>
                <w:i w:val="0"/>
                <w:color w:val="172B4D"/>
                <w:sz w:val="17"/>
              </w:rPr>
              <w:t>AI hallucination</w:t>
            </w:r>
          </w:p>
        </w:tc>
        <w:tc>
          <w:tcPr>
            <w:tcW w:type="dxa" w:w="3100"/>
          </w:tcPr>
          <w:p>
            <w:pPr>
              <w:widowControl/>
              <w:spacing w:after="0"/>
            </w:pPr>
            <w:r>
              <w:rPr>
                <w:rFonts w:ascii="Calibri" w:hAnsi="Calibri"/>
                <w:b w:val="0"/>
                <w:i w:val="0"/>
                <w:color w:val="172B4D"/>
                <w:sz w:val="17"/>
              </w:rPr>
              <w:t>Incorrect public response or executive report.</w:t>
            </w:r>
          </w:p>
        </w:tc>
        <w:tc>
          <w:tcPr>
            <w:tcW w:type="dxa" w:w="4410"/>
          </w:tcPr>
          <w:p>
            <w:pPr>
              <w:widowControl/>
              <w:spacing w:after="0"/>
            </w:pPr>
            <w:r>
              <w:rPr>
                <w:rFonts w:ascii="Calibri" w:hAnsi="Calibri"/>
                <w:b w:val="0"/>
                <w:i w:val="0"/>
                <w:color w:val="172B4D"/>
                <w:sz w:val="17"/>
              </w:rPr>
              <w:t>Retrieval grounding, citations, approval gates, claim checks and model evaluation.</w:t>
            </w:r>
          </w:p>
        </w:tc>
      </w:tr>
      <w:tr>
        <w:tc>
          <w:tcPr>
            <w:tcW w:type="dxa" w:w="1850"/>
          </w:tcPr>
          <w:p>
            <w:pPr>
              <w:widowControl/>
              <w:spacing w:after="0"/>
            </w:pPr>
            <w:r>
              <w:rPr>
                <w:rFonts w:ascii="Calibri" w:hAnsi="Calibri"/>
                <w:b w:val="0"/>
                <w:i w:val="0"/>
                <w:color w:val="172B4D"/>
                <w:sz w:val="17"/>
              </w:rPr>
              <w:t>Archive infringement</w:t>
            </w:r>
          </w:p>
        </w:tc>
        <w:tc>
          <w:tcPr>
            <w:tcW w:type="dxa" w:w="3100"/>
          </w:tcPr>
          <w:p>
            <w:pPr>
              <w:widowControl/>
              <w:spacing w:after="0"/>
            </w:pPr>
            <w:r>
              <w:rPr>
                <w:rFonts w:ascii="Calibri" w:hAnsi="Calibri"/>
                <w:b w:val="0"/>
                <w:i w:val="0"/>
                <w:color w:val="172B4D"/>
                <w:sz w:val="17"/>
              </w:rPr>
              <w:t>Full text/screenshots may breach licences.</w:t>
            </w:r>
          </w:p>
        </w:tc>
        <w:tc>
          <w:tcPr>
            <w:tcW w:type="dxa" w:w="4410"/>
          </w:tcPr>
          <w:p>
            <w:pPr>
              <w:widowControl/>
              <w:spacing w:after="0"/>
            </w:pPr>
            <w:r>
              <w:rPr>
                <w:rFonts w:ascii="Calibri" w:hAnsi="Calibri"/>
                <w:b w:val="0"/>
                <w:i w:val="0"/>
                <w:color w:val="172B4D"/>
                <w:sz w:val="17"/>
              </w:rPr>
              <w:t>Rights metadata, content-class retention, tombstones and provider-specific policies.</w:t>
            </w:r>
          </w:p>
        </w:tc>
      </w:tr>
      <w:tr>
        <w:tc>
          <w:tcPr>
            <w:tcW w:type="dxa" w:w="1850"/>
          </w:tcPr>
          <w:p>
            <w:pPr>
              <w:widowControl/>
              <w:spacing w:after="0"/>
            </w:pPr>
            <w:r>
              <w:rPr>
                <w:rFonts w:ascii="Calibri" w:hAnsi="Calibri"/>
                <w:b w:val="0"/>
                <w:i w:val="0"/>
                <w:color w:val="172B4D"/>
                <w:sz w:val="17"/>
              </w:rPr>
              <w:t>Workflow complexity</w:t>
            </w:r>
          </w:p>
        </w:tc>
        <w:tc>
          <w:tcPr>
            <w:tcW w:type="dxa" w:w="3100"/>
          </w:tcPr>
          <w:p>
            <w:pPr>
              <w:widowControl/>
              <w:spacing w:after="0"/>
            </w:pPr>
            <w:r>
              <w:rPr>
                <w:rFonts w:ascii="Calibri" w:hAnsi="Calibri"/>
                <w:b w:val="0"/>
                <w:i w:val="0"/>
                <w:color w:val="172B4D"/>
                <w:sz w:val="17"/>
              </w:rPr>
              <w:t>Users revert to spreadsheets and native apps.</w:t>
            </w:r>
          </w:p>
        </w:tc>
        <w:tc>
          <w:tcPr>
            <w:tcW w:type="dxa" w:w="4410"/>
          </w:tcPr>
          <w:p>
            <w:pPr>
              <w:widowControl/>
              <w:spacing w:after="0"/>
            </w:pPr>
            <w:r>
              <w:rPr>
                <w:rFonts w:ascii="Calibri" w:hAnsi="Calibri"/>
                <w:b w:val="0"/>
                <w:i w:val="0"/>
                <w:color w:val="172B4D"/>
                <w:sz w:val="17"/>
              </w:rPr>
              <w:t>Role defaults, guided setup, minimal MVP, usability testing and progressive disclosure.</w:t>
            </w:r>
          </w:p>
        </w:tc>
      </w:tr>
      <w:tr>
        <w:tc>
          <w:tcPr>
            <w:tcW w:type="dxa" w:w="1850"/>
          </w:tcPr>
          <w:p>
            <w:pPr>
              <w:widowControl/>
              <w:spacing w:after="0"/>
            </w:pPr>
            <w:r>
              <w:rPr>
                <w:rFonts w:ascii="Calibri" w:hAnsi="Calibri"/>
                <w:b w:val="0"/>
                <w:i w:val="0"/>
                <w:color w:val="172B4D"/>
                <w:sz w:val="17"/>
              </w:rPr>
              <w:t>Metric theatre</w:t>
            </w:r>
          </w:p>
        </w:tc>
        <w:tc>
          <w:tcPr>
            <w:tcW w:type="dxa" w:w="3100"/>
          </w:tcPr>
          <w:p>
            <w:pPr>
              <w:widowControl/>
              <w:spacing w:after="0"/>
            </w:pPr>
            <w:r>
              <w:rPr>
                <w:rFonts w:ascii="Calibri" w:hAnsi="Calibri"/>
                <w:b w:val="0"/>
                <w:i w:val="0"/>
                <w:color w:val="172B4D"/>
                <w:sz w:val="17"/>
              </w:rPr>
              <w:t>Large dashboards fail to inform decisions.</w:t>
            </w:r>
          </w:p>
        </w:tc>
        <w:tc>
          <w:tcPr>
            <w:tcW w:type="dxa" w:w="4410"/>
          </w:tcPr>
          <w:p>
            <w:pPr>
              <w:widowControl/>
              <w:spacing w:after="0"/>
            </w:pPr>
            <w:r>
              <w:rPr>
                <w:rFonts w:ascii="Calibri" w:hAnsi="Calibri"/>
                <w:b w:val="0"/>
                <w:i w:val="0"/>
                <w:color w:val="172B4D"/>
                <w:sz w:val="17"/>
              </w:rPr>
              <w:t>KPI governance, owner/target/caveat and direct action from variance.</w:t>
            </w:r>
          </w:p>
        </w:tc>
      </w:tr>
      <w:tr>
        <w:tc>
          <w:tcPr>
            <w:tcW w:type="dxa" w:w="1850"/>
          </w:tcPr>
          <w:p>
            <w:pPr>
              <w:widowControl/>
              <w:spacing w:after="0"/>
            </w:pPr>
            <w:r>
              <w:rPr>
                <w:rFonts w:ascii="Calibri" w:hAnsi="Calibri"/>
                <w:b w:val="0"/>
                <w:i w:val="0"/>
                <w:color w:val="172B4D"/>
                <w:sz w:val="17"/>
              </w:rPr>
              <w:t>Security breach</w:t>
            </w:r>
          </w:p>
        </w:tc>
        <w:tc>
          <w:tcPr>
            <w:tcW w:type="dxa" w:w="3100"/>
          </w:tcPr>
          <w:p>
            <w:pPr>
              <w:widowControl/>
              <w:spacing w:after="0"/>
            </w:pPr>
            <w:r>
              <w:rPr>
                <w:rFonts w:ascii="Calibri" w:hAnsi="Calibri"/>
                <w:b w:val="0"/>
                <w:i w:val="0"/>
                <w:color w:val="172B4D"/>
                <w:sz w:val="17"/>
              </w:rPr>
              <w:t>Sensitive DMs, credentials and client data are exposed.</w:t>
            </w:r>
          </w:p>
        </w:tc>
        <w:tc>
          <w:tcPr>
            <w:tcW w:type="dxa" w:w="4410"/>
          </w:tcPr>
          <w:p>
            <w:pPr>
              <w:widowControl/>
              <w:spacing w:after="0"/>
            </w:pPr>
            <w:r>
              <w:rPr>
                <w:rFonts w:ascii="Calibri" w:hAnsi="Calibri"/>
                <w:b w:val="0"/>
                <w:i w:val="0"/>
                <w:color w:val="172B4D"/>
                <w:sz w:val="17"/>
              </w:rPr>
              <w:t>Tenant isolation, vault, least privilege, audit, testing and incident response.</w:t>
            </w:r>
          </w:p>
        </w:tc>
      </w:tr>
      <w:tr>
        <w:tc>
          <w:tcPr>
            <w:tcW w:type="dxa" w:w="1850"/>
          </w:tcPr>
          <w:p>
            <w:pPr>
              <w:widowControl/>
              <w:spacing w:after="0"/>
            </w:pPr>
            <w:r>
              <w:rPr>
                <w:rFonts w:ascii="Calibri" w:hAnsi="Calibri"/>
                <w:b w:val="0"/>
                <w:i w:val="0"/>
                <w:color w:val="172B4D"/>
                <w:sz w:val="17"/>
              </w:rPr>
              <w:t>Scope explosion</w:t>
            </w:r>
          </w:p>
        </w:tc>
        <w:tc>
          <w:tcPr>
            <w:tcW w:type="dxa" w:w="3100"/>
          </w:tcPr>
          <w:p>
            <w:pPr>
              <w:widowControl/>
              <w:spacing w:after="0"/>
            </w:pPr>
            <w:r>
              <w:rPr>
                <w:rFonts w:ascii="Calibri" w:hAnsi="Calibri"/>
                <w:b w:val="0"/>
                <w:i w:val="0"/>
                <w:color w:val="172B4D"/>
                <w:sz w:val="17"/>
              </w:rPr>
              <w:t>Attempting parity with mature suites delays value.</w:t>
            </w:r>
          </w:p>
        </w:tc>
        <w:tc>
          <w:tcPr>
            <w:tcW w:type="dxa" w:w="4410"/>
          </w:tcPr>
          <w:p>
            <w:pPr>
              <w:widowControl/>
              <w:spacing w:after="0"/>
            </w:pPr>
            <w:r>
              <w:rPr>
                <w:rFonts w:ascii="Calibri" w:hAnsi="Calibri"/>
                <w:b w:val="0"/>
                <w:i w:val="0"/>
                <w:color w:val="172B4D"/>
                <w:sz w:val="17"/>
              </w:rPr>
              <w:t>Anchor MVP to one operational loop and strict deferred list.</w:t>
            </w:r>
          </w:p>
        </w:tc>
      </w:tr>
    </w:tbl>
    <w:p>
      <w:pPr>
        <w:widowControl/>
        <w:spacing w:after="0"/>
      </w:pPr>
    </w:p>
    <w:p>
      <w:pPr>
        <w:pStyle w:val="Heading1"/>
        <w:pageBreakBefore/>
        <w:widowControl/>
      </w:pPr>
      <w:r>
        <w:t>20. Decisions required before development</w:t>
      </w:r>
    </w:p>
    <w:p>
      <w:pPr>
        <w:pStyle w:val="ListNumber"/>
        <w:widowControl/>
        <w:numPr>
          <w:ilvl w:val="0"/>
          <w:numId w:val="16"/>
        </w:numPr>
      </w:pPr>
      <w:r>
        <w:rPr>
          <w:rFonts w:ascii="Calibri" w:hAnsi="Calibri"/>
          <w:b w:val="0"/>
          <w:i w:val="0"/>
          <w:color w:val="172B4D"/>
          <w:sz w:val="22"/>
        </w:rPr>
        <w:t>Primary launch market and first three paying client types.</w:t>
      </w:r>
    </w:p>
    <w:p>
      <w:pPr>
        <w:pStyle w:val="ListNumber"/>
        <w:widowControl/>
        <w:numPr>
          <w:ilvl w:val="0"/>
          <w:numId w:val="16"/>
        </w:numPr>
      </w:pPr>
      <w:r>
        <w:rPr>
          <w:rFonts w:ascii="Calibri" w:hAnsi="Calibri"/>
          <w:b w:val="0"/>
          <w:i w:val="0"/>
          <w:color w:val="172B4D"/>
          <w:sz w:val="22"/>
        </w:rPr>
        <w:t>First social networks, ranked by actual client accounts and required actions.</w:t>
      </w:r>
    </w:p>
    <w:p>
      <w:pPr>
        <w:pStyle w:val="ListNumber"/>
        <w:widowControl/>
        <w:numPr>
          <w:ilvl w:val="0"/>
          <w:numId w:val="16"/>
        </w:numPr>
      </w:pPr>
      <w:r>
        <w:rPr>
          <w:rFonts w:ascii="Calibri" w:hAnsi="Calibri"/>
          <w:b w:val="0"/>
          <w:i w:val="0"/>
          <w:color w:val="172B4D"/>
          <w:sz w:val="22"/>
        </w:rPr>
        <w:t>Online news / broadcast / print / podcast provider strategy and permitted archive rights.</w:t>
      </w:r>
    </w:p>
    <w:p>
      <w:pPr>
        <w:pStyle w:val="ListNumber"/>
        <w:widowControl/>
        <w:numPr>
          <w:ilvl w:val="0"/>
          <w:numId w:val="16"/>
        </w:numPr>
      </w:pPr>
      <w:r>
        <w:rPr>
          <w:rFonts w:ascii="Calibri" w:hAnsi="Calibri"/>
          <w:b w:val="0"/>
          <w:i w:val="0"/>
          <w:color w:val="172B4D"/>
          <w:sz w:val="22"/>
        </w:rPr>
        <w:t>MVP definition of “response”: public replies only, direct messages, reviews, monitored mentions, or all supported sources.</w:t>
      </w:r>
    </w:p>
    <w:p>
      <w:pPr>
        <w:pStyle w:val="ListNumber"/>
        <w:widowControl/>
        <w:numPr>
          <w:ilvl w:val="0"/>
          <w:numId w:val="16"/>
        </w:numPr>
      </w:pPr>
      <w:r>
        <w:rPr>
          <w:rFonts w:ascii="Calibri" w:hAnsi="Calibri"/>
          <w:b w:val="0"/>
          <w:i w:val="0"/>
          <w:color w:val="172B4D"/>
          <w:sz w:val="22"/>
        </w:rPr>
        <w:t>Required approval patterns, business hours and SLA definitions.</w:t>
      </w:r>
    </w:p>
    <w:p>
      <w:pPr>
        <w:pStyle w:val="ListNumber"/>
        <w:widowControl/>
        <w:numPr>
          <w:ilvl w:val="0"/>
          <w:numId w:val="16"/>
        </w:numPr>
      </w:pPr>
      <w:r>
        <w:rPr>
          <w:rFonts w:ascii="Calibri" w:hAnsi="Calibri"/>
          <w:b w:val="0"/>
          <w:i w:val="0"/>
          <w:color w:val="172B4D"/>
          <w:sz w:val="22"/>
        </w:rPr>
        <w:t>The initial KPI dictionary and which metrics clients already report.</w:t>
      </w:r>
    </w:p>
    <w:p>
      <w:pPr>
        <w:pStyle w:val="ListNumber"/>
        <w:widowControl/>
        <w:numPr>
          <w:ilvl w:val="0"/>
          <w:numId w:val="16"/>
        </w:numPr>
      </w:pPr>
      <w:r>
        <w:rPr>
          <w:rFonts w:ascii="Calibri" w:hAnsi="Calibri"/>
          <w:b w:val="0"/>
          <w:i w:val="0"/>
          <w:color w:val="172B4D"/>
          <w:sz w:val="22"/>
        </w:rPr>
        <w:t>Hosting region, enterprise security commitments and data-residency requirements.</w:t>
      </w:r>
    </w:p>
    <w:p>
      <w:pPr>
        <w:pStyle w:val="ListNumber"/>
        <w:widowControl/>
        <w:numPr>
          <w:ilvl w:val="0"/>
          <w:numId w:val="16"/>
        </w:numPr>
      </w:pPr>
      <w:r>
        <w:rPr>
          <w:rFonts w:ascii="Calibri" w:hAnsi="Calibri"/>
          <w:b w:val="0"/>
          <w:i w:val="0"/>
          <w:color w:val="172B4D"/>
          <w:sz w:val="22"/>
        </w:rPr>
        <w:t>White-label and client portal requirements for agency use.</w:t>
      </w:r>
    </w:p>
    <w:p>
      <w:pPr>
        <w:pStyle w:val="ListNumber"/>
        <w:widowControl/>
        <w:numPr>
          <w:ilvl w:val="0"/>
          <w:numId w:val="16"/>
        </w:numPr>
      </w:pPr>
      <w:r>
        <w:rPr>
          <w:rFonts w:ascii="Calibri" w:hAnsi="Calibri"/>
          <w:b w:val="0"/>
          <w:i w:val="0"/>
          <w:color w:val="172B4D"/>
          <w:sz w:val="22"/>
        </w:rPr>
        <w:t>Commercial packaging: connector/source usage, seats, clients/workspaces, archive volume and premium modules.</w:t>
      </w:r>
    </w:p>
    <w:p>
      <w:pPr>
        <w:pStyle w:val="ListNumber"/>
        <w:widowControl/>
        <w:numPr>
          <w:ilvl w:val="0"/>
          <w:numId w:val="16"/>
        </w:numPr>
      </w:pPr>
      <w:r>
        <w:rPr>
          <w:rFonts w:ascii="Calibri" w:hAnsi="Calibri"/>
          <w:b w:val="0"/>
          <w:i w:val="0"/>
          <w:color w:val="172B4D"/>
          <w:sz w:val="22"/>
        </w:rPr>
        <w:t>Whether Mi‑Insite is an internal platform, client-facing SaaS, managed service, or a hybrid.</w:t>
      </w:r>
    </w:p>
    <w:p>
      <w:pPr>
        <w:pStyle w:val="Heading1"/>
        <w:pageBreakBefore/>
        <w:widowControl/>
      </w:pPr>
      <w:r>
        <w:t>21. Suggested commercial packaging</w:t>
      </w:r>
    </w:p>
    <w:tbl>
      <w:tblPr>
        <w:tblW w:type="dxa" w:w="9360"/>
        <w:jc w:val="left"/>
        <w:tblLayout w:type="fixed"/>
        <w:tblLook w:firstColumn="1" w:firstRow="1" w:lastColumn="0" w:lastRow="0" w:noHBand="0" w:noVBand="1" w:val="04A0"/>
        <w:tblInd w:w="120" w:type="dxa"/>
        <w:tblBorders>
          <w:top w:val="single" w:sz="5" w:color="D0D5DD"/>
          <w:left w:val="single" w:sz="5" w:color="D0D5DD"/>
          <w:bottom w:val="single" w:sz="5" w:color="D0D5DD"/>
          <w:right w:val="single" w:sz="5" w:color="D0D5DD"/>
          <w:insideH w:val="single" w:sz="5" w:color="D0D5DD"/>
          <w:insideV w:val="single" w:sz="5" w:color="D0D5DD"/>
        </w:tblBorders>
      </w:tblPr>
      <w:tblGrid>
        <w:gridCol w:w="1500"/>
        <w:gridCol w:w="2650"/>
        <w:gridCol w:w="5210"/>
      </w:tblGrid>
      <w:tr>
        <w:trPr>
          <w:tblHeader w:val="true"/>
        </w:trPr>
        <w:tc>
          <w:tcPr>
            <w:tcW w:type="dxa" w:w="1500"/>
            <w:vAlign w:val="center"/>
            <w:tcMar>
              <w:top w:w="80" w:type="dxa"/>
              <w:start w:w="120" w:type="dxa"/>
              <w:bottom w:w="80" w:type="dxa"/>
              <w:end w:w="120" w:type="dxa"/>
            </w:tcMar>
            <w:shd w:fill="F2F4F7"/>
          </w:tcPr>
          <w:p>
            <w:pPr>
              <w:widowControl/>
              <w:spacing w:after="0"/>
            </w:pPr>
            <w:r>
              <w:rPr>
                <w:rFonts w:ascii="Calibri" w:hAnsi="Calibri"/>
                <w:b/>
                <w:i w:val="0"/>
                <w:color w:val="0B2545"/>
                <w:sz w:val="18"/>
              </w:rPr>
              <w:t>Package</w:t>
            </w:r>
          </w:p>
        </w:tc>
        <w:tc>
          <w:tcPr>
            <w:tcW w:type="dxa" w:w="2650"/>
            <w:vAlign w:val="center"/>
            <w:tcMar>
              <w:top w:w="80" w:type="dxa"/>
              <w:start w:w="120" w:type="dxa"/>
              <w:bottom w:w="80" w:type="dxa"/>
              <w:end w:w="120" w:type="dxa"/>
            </w:tcMar>
            <w:shd w:fill="F2F4F7"/>
          </w:tcPr>
          <w:p>
            <w:pPr>
              <w:widowControl/>
              <w:spacing w:after="0"/>
            </w:pPr>
            <w:r>
              <w:rPr>
                <w:rFonts w:ascii="Calibri" w:hAnsi="Calibri"/>
                <w:b/>
                <w:i w:val="0"/>
                <w:color w:val="0B2545"/>
                <w:sz w:val="18"/>
              </w:rPr>
              <w:t>Best for</w:t>
            </w:r>
          </w:p>
        </w:tc>
        <w:tc>
          <w:tcPr>
            <w:tcW w:type="dxa" w:w="5210"/>
            <w:vAlign w:val="center"/>
            <w:tcMar>
              <w:top w:w="80" w:type="dxa"/>
              <w:start w:w="120" w:type="dxa"/>
              <w:bottom w:w="80" w:type="dxa"/>
              <w:end w:w="120" w:type="dxa"/>
            </w:tcMar>
            <w:shd w:fill="F2F4F7"/>
          </w:tcPr>
          <w:p>
            <w:pPr>
              <w:widowControl/>
              <w:spacing w:after="0"/>
            </w:pPr>
            <w:r>
              <w:rPr>
                <w:rFonts w:ascii="Calibri" w:hAnsi="Calibri"/>
                <w:b/>
                <w:i w:val="0"/>
                <w:color w:val="0B2545"/>
                <w:sz w:val="18"/>
              </w:rPr>
              <w:t>Included emphasis</w:t>
            </w:r>
          </w:p>
        </w:tc>
      </w:tr>
      <w:tr>
        <w:tc>
          <w:tcPr>
            <w:tcW w:type="dxa" w:w="1500"/>
          </w:tcPr>
          <w:p>
            <w:pPr>
              <w:widowControl/>
              <w:spacing w:after="0"/>
            </w:pPr>
            <w:r>
              <w:rPr>
                <w:rFonts w:ascii="Calibri" w:hAnsi="Calibri"/>
                <w:b w:val="0"/>
                <w:i w:val="0"/>
                <w:color w:val="172B4D"/>
                <w:sz w:val="18"/>
              </w:rPr>
              <w:t>Monitor</w:t>
            </w:r>
          </w:p>
        </w:tc>
        <w:tc>
          <w:tcPr>
            <w:tcW w:type="dxa" w:w="2650"/>
          </w:tcPr>
          <w:p>
            <w:pPr>
              <w:widowControl/>
              <w:spacing w:after="0"/>
            </w:pPr>
            <w:r>
              <w:rPr>
                <w:rFonts w:ascii="Calibri" w:hAnsi="Calibri"/>
                <w:b w:val="0"/>
                <w:i w:val="0"/>
                <w:color w:val="172B4D"/>
                <w:sz w:val="18"/>
              </w:rPr>
              <w:t>Small communications teams</w:t>
            </w:r>
          </w:p>
        </w:tc>
        <w:tc>
          <w:tcPr>
            <w:tcW w:type="dxa" w:w="5210"/>
          </w:tcPr>
          <w:p>
            <w:pPr>
              <w:widowControl/>
              <w:spacing w:after="0"/>
            </w:pPr>
            <w:r>
              <w:rPr>
                <w:rFonts w:ascii="Calibri" w:hAnsi="Calibri"/>
                <w:b w:val="0"/>
                <w:i w:val="0"/>
                <w:color w:val="172B4D"/>
                <w:sz w:val="18"/>
              </w:rPr>
              <w:t>Online news, limited monitors, alerts, basic dashboard, archive and monthly report.</w:t>
            </w:r>
          </w:p>
        </w:tc>
      </w:tr>
      <w:tr>
        <w:tc>
          <w:tcPr>
            <w:tcW w:type="dxa" w:w="1500"/>
          </w:tcPr>
          <w:p>
            <w:pPr>
              <w:widowControl/>
              <w:spacing w:after="0"/>
            </w:pPr>
            <w:r>
              <w:rPr>
                <w:rFonts w:ascii="Calibri" w:hAnsi="Calibri"/>
                <w:b w:val="0"/>
                <w:i w:val="0"/>
                <w:color w:val="172B4D"/>
                <w:sz w:val="18"/>
              </w:rPr>
              <w:t>Engage</w:t>
            </w:r>
          </w:p>
        </w:tc>
        <w:tc>
          <w:tcPr>
            <w:tcW w:type="dxa" w:w="2650"/>
          </w:tcPr>
          <w:p>
            <w:pPr>
              <w:widowControl/>
              <w:spacing w:after="0"/>
            </w:pPr>
            <w:r>
              <w:rPr>
                <w:rFonts w:ascii="Calibri" w:hAnsi="Calibri"/>
                <w:b w:val="0"/>
                <w:i w:val="0"/>
                <w:color w:val="172B4D"/>
                <w:sz w:val="18"/>
              </w:rPr>
              <w:t>Social/community teams</w:t>
            </w:r>
          </w:p>
        </w:tc>
        <w:tc>
          <w:tcPr>
            <w:tcW w:type="dxa" w:w="5210"/>
          </w:tcPr>
          <w:p>
            <w:pPr>
              <w:widowControl/>
              <w:spacing w:after="0"/>
            </w:pPr>
            <w:r>
              <w:rPr>
                <w:rFonts w:ascii="Calibri" w:hAnsi="Calibri"/>
                <w:b w:val="0"/>
                <w:i w:val="0"/>
                <w:color w:val="172B4D"/>
                <w:sz w:val="18"/>
              </w:rPr>
              <w:t>Monitor plus owned-social inbox, SLA, approvals, publishing calendar and social analytics.</w:t>
            </w:r>
          </w:p>
        </w:tc>
      </w:tr>
      <w:tr>
        <w:tc>
          <w:tcPr>
            <w:tcW w:type="dxa" w:w="1500"/>
          </w:tcPr>
          <w:p>
            <w:pPr>
              <w:widowControl/>
              <w:spacing w:after="0"/>
            </w:pPr>
            <w:r>
              <w:rPr>
                <w:rFonts w:ascii="Calibri" w:hAnsi="Calibri"/>
                <w:b w:val="0"/>
                <w:i w:val="0"/>
                <w:color w:val="172B4D"/>
                <w:sz w:val="18"/>
              </w:rPr>
              <w:t>Intelligence</w:t>
            </w:r>
          </w:p>
        </w:tc>
        <w:tc>
          <w:tcPr>
            <w:tcW w:type="dxa" w:w="2650"/>
          </w:tcPr>
          <w:p>
            <w:pPr>
              <w:widowControl/>
              <w:spacing w:after="0"/>
            </w:pPr>
            <w:r>
              <w:rPr>
                <w:rFonts w:ascii="Calibri" w:hAnsi="Calibri"/>
                <w:b w:val="0"/>
                <w:i w:val="0"/>
                <w:color w:val="172B4D"/>
                <w:sz w:val="18"/>
              </w:rPr>
              <w:t>Corporate affairs and larger brands</w:t>
            </w:r>
          </w:p>
        </w:tc>
        <w:tc>
          <w:tcPr>
            <w:tcW w:type="dxa" w:w="5210"/>
          </w:tcPr>
          <w:p>
            <w:pPr>
              <w:widowControl/>
              <w:spacing w:after="0"/>
            </w:pPr>
            <w:r>
              <w:rPr>
                <w:rFonts w:ascii="Calibri" w:hAnsi="Calibri"/>
                <w:b w:val="0"/>
                <w:i w:val="0"/>
                <w:color w:val="172B4D"/>
                <w:sz w:val="18"/>
              </w:rPr>
              <w:t>Advanced listening, narrative analysis, benchmarking, campaign reporting and crisis room.</w:t>
            </w:r>
          </w:p>
        </w:tc>
      </w:tr>
      <w:tr>
        <w:tc>
          <w:tcPr>
            <w:tcW w:type="dxa" w:w="1500"/>
          </w:tcPr>
          <w:p>
            <w:pPr>
              <w:widowControl/>
              <w:spacing w:after="0"/>
            </w:pPr>
            <w:r>
              <w:rPr>
                <w:rFonts w:ascii="Calibri" w:hAnsi="Calibri"/>
                <w:b w:val="0"/>
                <w:i w:val="0"/>
                <w:color w:val="172B4D"/>
                <w:sz w:val="18"/>
              </w:rPr>
              <w:t>Agency</w:t>
            </w:r>
          </w:p>
        </w:tc>
        <w:tc>
          <w:tcPr>
            <w:tcW w:type="dxa" w:w="2650"/>
          </w:tcPr>
          <w:p>
            <w:pPr>
              <w:widowControl/>
              <w:spacing w:after="0"/>
            </w:pPr>
            <w:r>
              <w:rPr>
                <w:rFonts w:ascii="Calibri" w:hAnsi="Calibri"/>
                <w:b w:val="0"/>
                <w:i w:val="0"/>
                <w:color w:val="172B4D"/>
                <w:sz w:val="18"/>
              </w:rPr>
              <w:t>Mind Interactive and peer agencies</w:t>
            </w:r>
          </w:p>
        </w:tc>
        <w:tc>
          <w:tcPr>
            <w:tcW w:type="dxa" w:w="5210"/>
          </w:tcPr>
          <w:p>
            <w:pPr>
              <w:widowControl/>
              <w:spacing w:after="0"/>
            </w:pPr>
            <w:r>
              <w:rPr>
                <w:rFonts w:ascii="Calibri" w:hAnsi="Calibri"/>
                <w:b w:val="0"/>
                <w:i w:val="0"/>
                <w:color w:val="172B4D"/>
                <w:sz w:val="18"/>
              </w:rPr>
              <w:t>Multi-client tenancy, reusable templates, white-label reporting, client access and usage controls.</w:t>
            </w:r>
          </w:p>
        </w:tc>
      </w:tr>
      <w:tr>
        <w:tc>
          <w:tcPr>
            <w:tcW w:type="dxa" w:w="1500"/>
          </w:tcPr>
          <w:p>
            <w:pPr>
              <w:widowControl/>
              <w:spacing w:after="0"/>
            </w:pPr>
            <w:r>
              <w:rPr>
                <w:rFonts w:ascii="Calibri" w:hAnsi="Calibri"/>
                <w:b w:val="0"/>
                <w:i w:val="0"/>
                <w:color w:val="172B4D"/>
                <w:sz w:val="18"/>
              </w:rPr>
              <w:t>Enterprise</w:t>
            </w:r>
          </w:p>
        </w:tc>
        <w:tc>
          <w:tcPr>
            <w:tcW w:type="dxa" w:w="2650"/>
          </w:tcPr>
          <w:p>
            <w:pPr>
              <w:widowControl/>
              <w:spacing w:after="0"/>
            </w:pPr>
            <w:r>
              <w:rPr>
                <w:rFonts w:ascii="Calibri" w:hAnsi="Calibri"/>
                <w:b w:val="0"/>
                <w:i w:val="0"/>
                <w:color w:val="172B4D"/>
                <w:sz w:val="18"/>
              </w:rPr>
              <w:t>Large or regulated organisations</w:t>
            </w:r>
          </w:p>
        </w:tc>
        <w:tc>
          <w:tcPr>
            <w:tcW w:type="dxa" w:w="5210"/>
          </w:tcPr>
          <w:p>
            <w:pPr>
              <w:widowControl/>
              <w:spacing w:after="0"/>
            </w:pPr>
            <w:r>
              <w:rPr>
                <w:rFonts w:ascii="Calibri" w:hAnsi="Calibri"/>
                <w:b w:val="0"/>
                <w:i w:val="0"/>
                <w:color w:val="172B4D"/>
                <w:sz w:val="18"/>
              </w:rPr>
              <w:t>SSO, custom retention, premium sources, data/API integration, dedicated environments and governance.</w:t>
            </w:r>
          </w:p>
        </w:tc>
      </w:tr>
    </w:tbl>
    <w:p>
      <w:pPr>
        <w:widowControl/>
        <w:spacing w:after="0"/>
      </w:pPr>
    </w:p>
    <w:p>
      <w:pPr>
        <w:pStyle w:val="Heading1"/>
        <w:widowControl/>
      </w:pPr>
      <w:r>
        <w:t>22. Final product recommendation</w:t>
      </w:r>
    </w:p>
    <w:p>
      <w:pPr>
        <w:widowControl/>
      </w:pPr>
      <w:r>
        <w:rPr>
          <w:rFonts w:ascii="Calibri" w:hAnsi="Calibri"/>
          <w:b w:val="0"/>
          <w:i w:val="0"/>
          <w:color w:val="172B4D"/>
          <w:sz w:val="22"/>
        </w:rPr>
        <w:t>Build Mi‑Insite around the signal-to-outcome loop, not around a list of vendor features. The first release should make five things unusually good: trustworthy monitoring, disciplined triage, approved response, evidence-grade archiving and transparent KPI reporting. Once that loop is working, broader media sources, PR relations, influencer management and predictive analytics can be added without changing the product’s centre of gravity.</w:t>
      </w:r>
    </w:p>
    <w:tbl>
      <w:tblPr>
        <w:tblW w:type="dxa" w:w="9360"/>
        <w:jc w:val="left"/>
        <w:tblLayout w:type="fixed"/>
        <w:tblLook w:firstColumn="1" w:firstRow="1" w:lastColumn="0" w:lastRow="0" w:noHBand="0" w:noVBand="1" w:val="04A0"/>
        <w:tblInd w:w="120" w:type="dxa"/>
        <w:tblBorders>
          <w:top w:val="single" w:sz="8" w:color="6657D9"/>
          <w:left w:val="single" w:sz="8" w:color="6657D9"/>
          <w:bottom w:val="single" w:sz="8" w:color="6657D9"/>
          <w:right w:val="single" w:sz="8" w:color="6657D9"/>
          <w:insideH w:val="single" w:sz="8" w:color="6657D9"/>
          <w:insideV w:val="single" w:sz="8" w:color="6657D9"/>
        </w:tblBorders>
      </w:tblPr>
      <w:tblGrid>
        <w:gridCol w:w="9360"/>
      </w:tblGrid>
      <w:tr>
        <w:tc>
          <w:tcPr>
            <w:tcW w:type="dxa" w:w="9360"/>
            <w:vAlign w:val="center"/>
            <w:tcMar>
              <w:top w:w="80" w:type="dxa"/>
              <w:start w:w="120" w:type="dxa"/>
              <w:bottom w:w="80" w:type="dxa"/>
              <w:end w:w="120" w:type="dxa"/>
            </w:tcMar>
            <w:shd w:fill="F0EEFB"/>
          </w:tcPr>
          <w:p>
            <w:pPr>
              <w:widowControl/>
              <w:spacing w:after="40"/>
            </w:pPr>
            <w:r>
              <w:rPr>
                <w:rFonts w:ascii="Calibri" w:hAnsi="Calibri"/>
                <w:b/>
                <w:i w:val="0"/>
                <w:color w:val="6657D9"/>
                <w:sz w:val="18"/>
              </w:rPr>
              <w:t>THE BABY’S PERSONALITY</w:t>
            </w:r>
          </w:p>
          <w:p>
            <w:pPr>
              <w:widowControl/>
              <w:spacing w:after="40"/>
            </w:pPr>
            <w:r>
              <w:rPr>
                <w:rFonts w:ascii="Calibri" w:hAnsi="Calibri"/>
                <w:b/>
                <w:i w:val="0"/>
                <w:color w:val="172B4D"/>
                <w:sz w:val="22"/>
              </w:rPr>
              <w:t>Brandwatch’s analytical curiosity, Meltwater’s media awareness, and Mi‑Insite’s operational discipline.</w:t>
            </w:r>
          </w:p>
        </w:tc>
      </w:tr>
    </w:tbl>
    <w:p>
      <w:pPr>
        <w:widowControl/>
        <w:spacing w:after="0"/>
      </w:pPr>
    </w:p>
    <w:p>
      <w:pPr>
        <w:pStyle w:val="Heading1"/>
        <w:pageBreakBefore/>
        <w:widowControl/>
      </w:pPr>
      <w:r>
        <w:t>Appendix A. Source notes</w:t>
      </w:r>
    </w:p>
    <w:p>
      <w:pPr>
        <w:widowControl/>
      </w:pPr>
      <w:r>
        <w:rPr>
          <w:rFonts w:ascii="Calibri" w:hAnsi="Calibri"/>
          <w:b w:val="0"/>
          <w:i w:val="0"/>
          <w:color w:val="172B4D"/>
          <w:sz w:val="22"/>
        </w:rPr>
        <w:t>Official product pages were used to understand current capabilities. The links below should be rechecked during procurement because packaging, source access and platform integrations change.</w:t>
      </w:r>
    </w:p>
    <w:p>
      <w:pPr>
        <w:pStyle w:val="ListBullet"/>
        <w:widowControl/>
        <w:spacing w:after="100"/>
      </w:pPr>
      <w:hyperlink r:id="rId13">
        <w:r>
          <w:rPr>
            <w:rFonts w:ascii="Calibri" w:hAnsi="Calibri"/>
            <w:color w:val="2E74B5"/>
            <w:u w:val="single"/>
          </w:rPr>
          <w:t>Brandwatch Consumer Research</w:t>
        </w:r>
      </w:hyperlink>
    </w:p>
    <w:p>
      <w:pPr>
        <w:pStyle w:val="ListBullet"/>
        <w:widowControl/>
        <w:spacing w:after="100"/>
      </w:pPr>
      <w:hyperlink r:id="rId14">
        <w:r>
          <w:rPr>
            <w:rFonts w:ascii="Calibri" w:hAnsi="Calibri"/>
            <w:color w:val="2E74B5"/>
            <w:u w:val="single"/>
          </w:rPr>
          <w:t>Brandwatch Consumer Intelligence: how it works</w:t>
        </w:r>
      </w:hyperlink>
    </w:p>
    <w:p>
      <w:pPr>
        <w:pStyle w:val="ListBullet"/>
        <w:widowControl/>
        <w:spacing w:after="100"/>
      </w:pPr>
      <w:hyperlink r:id="rId15">
        <w:r>
          <w:rPr>
            <w:rFonts w:ascii="Calibri" w:hAnsi="Calibri"/>
            <w:color w:val="2E74B5"/>
            <w:u w:val="single"/>
          </w:rPr>
          <w:t>Brandwatch Social Media Management overview</w:t>
        </w:r>
      </w:hyperlink>
    </w:p>
    <w:p>
      <w:pPr>
        <w:pStyle w:val="ListBullet"/>
        <w:widowControl/>
        <w:spacing w:after="100"/>
      </w:pPr>
      <w:hyperlink r:id="rId16">
        <w:r>
          <w:rPr>
            <w:rFonts w:ascii="Calibri" w:hAnsi="Calibri"/>
            <w:color w:val="2E74B5"/>
            <w:u w:val="single"/>
          </w:rPr>
          <w:t>Brandwatch Iris AI</w:t>
        </w:r>
      </w:hyperlink>
    </w:p>
    <w:p>
      <w:pPr>
        <w:pStyle w:val="ListBullet"/>
        <w:widowControl/>
        <w:spacing w:after="100"/>
      </w:pPr>
      <w:hyperlink r:id="rId17">
        <w:r>
          <w:rPr>
            <w:rFonts w:ascii="Calibri" w:hAnsi="Calibri"/>
            <w:color w:val="2E74B5"/>
            <w:u w:val="single"/>
          </w:rPr>
          <w:t>Meltwater platform overview</w:t>
        </w:r>
      </w:hyperlink>
    </w:p>
    <w:p>
      <w:pPr>
        <w:pStyle w:val="ListBullet"/>
        <w:widowControl/>
        <w:spacing w:after="100"/>
      </w:pPr>
      <w:hyperlink r:id="rId18">
        <w:r>
          <w:rPr>
            <w:rFonts w:ascii="Calibri" w:hAnsi="Calibri"/>
            <w:color w:val="2E74B5"/>
            <w:u w:val="single"/>
          </w:rPr>
          <w:t>Meltwater Media Monitoring</w:t>
        </w:r>
      </w:hyperlink>
    </w:p>
    <w:p>
      <w:pPr>
        <w:pStyle w:val="ListBullet"/>
        <w:widowControl/>
        <w:spacing w:after="100"/>
      </w:pPr>
      <w:hyperlink r:id="rId19">
        <w:r>
          <w:rPr>
            <w:rFonts w:ascii="Calibri" w:hAnsi="Calibri"/>
            <w:color w:val="2E74B5"/>
            <w:u w:val="single"/>
          </w:rPr>
          <w:t>Meltwater Social Listening</w:t>
        </w:r>
      </w:hyperlink>
    </w:p>
    <w:p>
      <w:pPr>
        <w:pStyle w:val="ListBullet"/>
        <w:widowControl/>
        <w:spacing w:after="100"/>
      </w:pPr>
      <w:hyperlink r:id="rId20">
        <w:r>
          <w:rPr>
            <w:rFonts w:ascii="Calibri" w:hAnsi="Calibri"/>
            <w:color w:val="2E74B5"/>
            <w:u w:val="single"/>
          </w:rPr>
          <w:t>Meltwater Media Database</w:t>
        </w:r>
      </w:hyperlink>
    </w:p>
    <w:p>
      <w:pPr>
        <w:pStyle w:val="ListBullet"/>
        <w:widowControl/>
        <w:spacing w:after="100"/>
      </w:pPr>
      <w:hyperlink r:id="rId21">
        <w:r>
          <w:rPr>
            <w:rFonts w:ascii="Calibri" w:hAnsi="Calibri"/>
            <w:color w:val="2E74B5"/>
            <w:u w:val="single"/>
          </w:rPr>
          <w:t>Meltwater PR Reporting</w:t>
        </w:r>
      </w:hyperlink>
    </w:p>
    <w:p>
      <w:pPr>
        <w:pStyle w:val="ListBullet"/>
        <w:widowControl/>
        <w:spacing w:after="100"/>
      </w:pPr>
      <w:hyperlink r:id="rId22">
        <w:r>
          <w:rPr>
            <w:rFonts w:ascii="Calibri" w:hAnsi="Calibri"/>
            <w:color w:val="2E74B5"/>
            <w:u w:val="single"/>
          </w:rPr>
          <w:t>Meltwater Social Engagement</w:t>
        </w:r>
      </w:hyperlink>
    </w:p>
    <w:p>
      <w:pPr>
        <w:pStyle w:val="ListBullet"/>
        <w:widowControl/>
        <w:spacing w:after="100"/>
      </w:pPr>
      <w:hyperlink r:id="rId23">
        <w:r>
          <w:rPr>
            <w:rFonts w:ascii="Calibri" w:hAnsi="Calibri"/>
            <w:color w:val="2E74B5"/>
            <w:u w:val="single"/>
          </w:rPr>
          <w:t>LinkedIn Posts API</w:t>
        </w:r>
      </w:hyperlink>
    </w:p>
    <w:p>
      <w:pPr>
        <w:pStyle w:val="ListBullet"/>
        <w:widowControl/>
        <w:spacing w:after="100"/>
      </w:pPr>
      <w:hyperlink r:id="rId24">
        <w:r>
          <w:rPr>
            <w:rFonts w:ascii="Calibri" w:hAnsi="Calibri"/>
            <w:color w:val="2E74B5"/>
            <w:u w:val="single"/>
          </w:rPr>
          <w:t>TikTok for Developers</w:t>
        </w:r>
      </w:hyperlink>
    </w:p>
    <w:p>
      <w:pPr>
        <w:pStyle w:val="ListBullet"/>
        <w:widowControl/>
        <w:spacing w:after="100"/>
      </w:pPr>
      <w:hyperlink r:id="rId25">
        <w:r>
          <w:rPr>
            <w:rFonts w:ascii="Calibri" w:hAnsi="Calibri"/>
            <w:color w:val="2E74B5"/>
            <w:u w:val="single"/>
          </w:rPr>
          <w:t>G2: Brandwatch Consumer Intelligence reviews</w:t>
        </w:r>
      </w:hyperlink>
    </w:p>
    <w:p>
      <w:pPr>
        <w:pStyle w:val="ListBullet"/>
        <w:widowControl/>
        <w:spacing w:after="100"/>
      </w:pPr>
      <w:hyperlink r:id="rId26">
        <w:r>
          <w:rPr>
            <w:rFonts w:ascii="Calibri" w:hAnsi="Calibri"/>
            <w:color w:val="2E74B5"/>
            <w:u w:val="single"/>
          </w:rPr>
          <w:t>G2: Meltwater reviews</w:t>
        </w:r>
      </w:hyperlink>
    </w:p>
    <w:p>
      <w:pPr>
        <w:pStyle w:val="Heading1"/>
        <w:pageBreakBefore/>
        <w:widowControl/>
      </w:pPr>
      <w:r>
        <w:t>Appendix B. Glossary</w:t>
      </w:r>
    </w:p>
    <w:tbl>
      <w:tblPr>
        <w:tblW w:type="dxa" w:w="9360"/>
        <w:jc w:val="left"/>
        <w:tblLayout w:type="fixed"/>
        <w:tblLook w:firstColumn="1" w:firstRow="1" w:lastColumn="0" w:lastRow="0" w:noHBand="0" w:noVBand="1" w:val="04A0"/>
        <w:tblInd w:w="120" w:type="dxa"/>
        <w:tblBorders>
          <w:top w:val="single" w:sz="5" w:color="D0D5DD"/>
          <w:left w:val="single" w:sz="5" w:color="D0D5DD"/>
          <w:bottom w:val="single" w:sz="5" w:color="D0D5DD"/>
          <w:right w:val="single" w:sz="5" w:color="D0D5DD"/>
          <w:insideH w:val="single" w:sz="5" w:color="D0D5DD"/>
          <w:insideV w:val="single" w:sz="5" w:color="D0D5DD"/>
        </w:tblBorders>
      </w:tblPr>
      <w:tblGrid>
        <w:gridCol w:w="1800"/>
        <w:gridCol w:w="7560"/>
      </w:tblGrid>
      <w:tr>
        <w:trPr>
          <w:tblHeader w:val="true"/>
        </w:trPr>
        <w:tc>
          <w:tcPr>
            <w:tcW w:type="dxa" w:w="1800"/>
            <w:vAlign w:val="center"/>
            <w:tcMar>
              <w:top w:w="80" w:type="dxa"/>
              <w:start w:w="120" w:type="dxa"/>
              <w:bottom w:w="80" w:type="dxa"/>
              <w:end w:w="120" w:type="dxa"/>
            </w:tcMar>
            <w:shd w:fill="F2F4F7"/>
          </w:tcPr>
          <w:p>
            <w:pPr>
              <w:widowControl/>
              <w:spacing w:after="0"/>
            </w:pPr>
            <w:r>
              <w:rPr>
                <w:rFonts w:ascii="Calibri" w:hAnsi="Calibri"/>
                <w:b/>
                <w:i w:val="0"/>
                <w:color w:val="0B2545"/>
                <w:sz w:val="18"/>
              </w:rPr>
              <w:t>Term</w:t>
            </w:r>
          </w:p>
        </w:tc>
        <w:tc>
          <w:tcPr>
            <w:tcW w:type="dxa" w:w="7560"/>
            <w:vAlign w:val="center"/>
            <w:tcMar>
              <w:top w:w="80" w:type="dxa"/>
              <w:start w:w="120" w:type="dxa"/>
              <w:bottom w:w="80" w:type="dxa"/>
              <w:end w:w="120" w:type="dxa"/>
            </w:tcMar>
            <w:shd w:fill="F2F4F7"/>
          </w:tcPr>
          <w:p>
            <w:pPr>
              <w:widowControl/>
              <w:spacing w:after="0"/>
            </w:pPr>
            <w:r>
              <w:rPr>
                <w:rFonts w:ascii="Calibri" w:hAnsi="Calibri"/>
                <w:b/>
                <w:i w:val="0"/>
                <w:color w:val="0B2545"/>
                <w:sz w:val="18"/>
              </w:rPr>
              <w:t>Definition</w:t>
            </w:r>
          </w:p>
        </w:tc>
      </w:tr>
      <w:tr>
        <w:tc>
          <w:tcPr>
            <w:tcW w:type="dxa" w:w="1800"/>
          </w:tcPr>
          <w:p>
            <w:pPr>
              <w:widowControl/>
              <w:spacing w:after="0"/>
            </w:pPr>
            <w:r>
              <w:rPr>
                <w:rFonts w:ascii="Calibri" w:hAnsi="Calibri"/>
                <w:b w:val="0"/>
                <w:i w:val="0"/>
                <w:color w:val="172B4D"/>
                <w:sz w:val="18"/>
              </w:rPr>
              <w:t>Owned media</w:t>
            </w:r>
          </w:p>
        </w:tc>
        <w:tc>
          <w:tcPr>
            <w:tcW w:type="dxa" w:w="7560"/>
          </w:tcPr>
          <w:p>
            <w:pPr>
              <w:widowControl/>
              <w:spacing w:after="0"/>
            </w:pPr>
            <w:r>
              <w:rPr>
                <w:rFonts w:ascii="Calibri" w:hAnsi="Calibri"/>
                <w:b w:val="0"/>
                <w:i w:val="0"/>
                <w:color w:val="172B4D"/>
                <w:sz w:val="18"/>
              </w:rPr>
              <w:t>Channels and accounts controlled by the organisation, such as its social pages and website.</w:t>
            </w:r>
          </w:p>
        </w:tc>
      </w:tr>
      <w:tr>
        <w:tc>
          <w:tcPr>
            <w:tcW w:type="dxa" w:w="1800"/>
          </w:tcPr>
          <w:p>
            <w:pPr>
              <w:widowControl/>
              <w:spacing w:after="0"/>
            </w:pPr>
            <w:r>
              <w:rPr>
                <w:rFonts w:ascii="Calibri" w:hAnsi="Calibri"/>
                <w:b w:val="0"/>
                <w:i w:val="0"/>
                <w:color w:val="172B4D"/>
                <w:sz w:val="18"/>
              </w:rPr>
              <w:t>Earned media</w:t>
            </w:r>
          </w:p>
        </w:tc>
        <w:tc>
          <w:tcPr>
            <w:tcW w:type="dxa" w:w="7560"/>
          </w:tcPr>
          <w:p>
            <w:pPr>
              <w:widowControl/>
              <w:spacing w:after="0"/>
            </w:pPr>
            <w:r>
              <w:rPr>
                <w:rFonts w:ascii="Calibri" w:hAnsi="Calibri"/>
                <w:b w:val="0"/>
                <w:i w:val="0"/>
                <w:color w:val="172B4D"/>
                <w:sz w:val="18"/>
              </w:rPr>
              <w:t>Coverage or conversation created by independent outlets, journalists, creators or the public.</w:t>
            </w:r>
          </w:p>
        </w:tc>
      </w:tr>
      <w:tr>
        <w:tc>
          <w:tcPr>
            <w:tcW w:type="dxa" w:w="1800"/>
          </w:tcPr>
          <w:p>
            <w:pPr>
              <w:widowControl/>
              <w:spacing w:after="0"/>
            </w:pPr>
            <w:r>
              <w:rPr>
                <w:rFonts w:ascii="Calibri" w:hAnsi="Calibri"/>
                <w:b w:val="0"/>
                <w:i w:val="0"/>
                <w:color w:val="172B4D"/>
                <w:sz w:val="18"/>
              </w:rPr>
              <w:t>Social monitoring</w:t>
            </w:r>
          </w:p>
        </w:tc>
        <w:tc>
          <w:tcPr>
            <w:tcW w:type="dxa" w:w="7560"/>
          </w:tcPr>
          <w:p>
            <w:pPr>
              <w:widowControl/>
              <w:spacing w:after="0"/>
            </w:pPr>
            <w:r>
              <w:rPr>
                <w:rFonts w:ascii="Calibri" w:hAnsi="Calibri"/>
                <w:b w:val="0"/>
                <w:i w:val="0"/>
                <w:color w:val="172B4D"/>
                <w:sz w:val="18"/>
              </w:rPr>
              <w:t>Tracking mentions and interactions—what happened and where.</w:t>
            </w:r>
          </w:p>
        </w:tc>
      </w:tr>
      <w:tr>
        <w:tc>
          <w:tcPr>
            <w:tcW w:type="dxa" w:w="1800"/>
          </w:tcPr>
          <w:p>
            <w:pPr>
              <w:widowControl/>
              <w:spacing w:after="0"/>
            </w:pPr>
            <w:r>
              <w:rPr>
                <w:rFonts w:ascii="Calibri" w:hAnsi="Calibri"/>
                <w:b w:val="0"/>
                <w:i w:val="0"/>
                <w:color w:val="172B4D"/>
                <w:sz w:val="18"/>
              </w:rPr>
              <w:t>Social listening</w:t>
            </w:r>
          </w:p>
        </w:tc>
        <w:tc>
          <w:tcPr>
            <w:tcW w:type="dxa" w:w="7560"/>
          </w:tcPr>
          <w:p>
            <w:pPr>
              <w:widowControl/>
              <w:spacing w:after="0"/>
            </w:pPr>
            <w:r>
              <w:rPr>
                <w:rFonts w:ascii="Calibri" w:hAnsi="Calibri"/>
                <w:b w:val="0"/>
                <w:i w:val="0"/>
                <w:color w:val="172B4D"/>
                <w:sz w:val="18"/>
              </w:rPr>
              <w:t>Analysing themes, sentiment, narratives and implications—why it happened and what to do.</w:t>
            </w:r>
          </w:p>
        </w:tc>
      </w:tr>
      <w:tr>
        <w:tc>
          <w:tcPr>
            <w:tcW w:type="dxa" w:w="1800"/>
          </w:tcPr>
          <w:p>
            <w:pPr>
              <w:widowControl/>
              <w:spacing w:after="0"/>
            </w:pPr>
            <w:r>
              <w:rPr>
                <w:rFonts w:ascii="Calibri" w:hAnsi="Calibri"/>
                <w:b w:val="0"/>
                <w:i w:val="0"/>
                <w:color w:val="172B4D"/>
                <w:sz w:val="18"/>
              </w:rPr>
              <w:t>Share of voice</w:t>
            </w:r>
          </w:p>
        </w:tc>
        <w:tc>
          <w:tcPr>
            <w:tcW w:type="dxa" w:w="7560"/>
          </w:tcPr>
          <w:p>
            <w:pPr>
              <w:widowControl/>
              <w:spacing w:after="0"/>
            </w:pPr>
            <w:r>
              <w:rPr>
                <w:rFonts w:ascii="Calibri" w:hAnsi="Calibri"/>
                <w:b w:val="0"/>
                <w:i w:val="0"/>
                <w:color w:val="172B4D"/>
                <w:sz w:val="18"/>
              </w:rPr>
              <w:t>The proportion of measured conversation or coverage belonging to one entity within a defined comparison set.</w:t>
            </w:r>
          </w:p>
        </w:tc>
      </w:tr>
      <w:tr>
        <w:tc>
          <w:tcPr>
            <w:tcW w:type="dxa" w:w="1800"/>
          </w:tcPr>
          <w:p>
            <w:pPr>
              <w:widowControl/>
              <w:spacing w:after="0"/>
            </w:pPr>
            <w:r>
              <w:rPr>
                <w:rFonts w:ascii="Calibri" w:hAnsi="Calibri"/>
                <w:b w:val="0"/>
                <w:i w:val="0"/>
                <w:color w:val="172B4D"/>
                <w:sz w:val="18"/>
              </w:rPr>
              <w:t>Potential reach</w:t>
            </w:r>
          </w:p>
        </w:tc>
        <w:tc>
          <w:tcPr>
            <w:tcW w:type="dxa" w:w="7560"/>
          </w:tcPr>
          <w:p>
            <w:pPr>
              <w:widowControl/>
              <w:spacing w:after="0"/>
            </w:pPr>
            <w:r>
              <w:rPr>
                <w:rFonts w:ascii="Calibri" w:hAnsi="Calibri"/>
                <w:b w:val="0"/>
                <w:i w:val="0"/>
                <w:color w:val="172B4D"/>
                <w:sz w:val="18"/>
              </w:rPr>
              <w:t>An estimate of possible audience exposure; it is not the same as verified views or unique people reached.</w:t>
            </w:r>
          </w:p>
        </w:tc>
      </w:tr>
      <w:tr>
        <w:tc>
          <w:tcPr>
            <w:tcW w:type="dxa" w:w="1800"/>
          </w:tcPr>
          <w:p>
            <w:pPr>
              <w:widowControl/>
              <w:spacing w:after="0"/>
            </w:pPr>
            <w:r>
              <w:rPr>
                <w:rFonts w:ascii="Calibri" w:hAnsi="Calibri"/>
                <w:b w:val="0"/>
                <w:i w:val="0"/>
                <w:color w:val="172B4D"/>
                <w:sz w:val="18"/>
              </w:rPr>
              <w:t>Message pull-through</w:t>
            </w:r>
          </w:p>
        </w:tc>
        <w:tc>
          <w:tcPr>
            <w:tcW w:type="dxa" w:w="7560"/>
          </w:tcPr>
          <w:p>
            <w:pPr>
              <w:widowControl/>
              <w:spacing w:after="0"/>
            </w:pPr>
            <w:r>
              <w:rPr>
                <w:rFonts w:ascii="Calibri" w:hAnsi="Calibri"/>
                <w:b w:val="0"/>
                <w:i w:val="0"/>
                <w:color w:val="172B4D"/>
                <w:sz w:val="18"/>
              </w:rPr>
              <w:t>The extent to which priority organisational messages appear in coverage or conversation.</w:t>
            </w:r>
          </w:p>
        </w:tc>
      </w:tr>
      <w:tr>
        <w:tc>
          <w:tcPr>
            <w:tcW w:type="dxa" w:w="1800"/>
          </w:tcPr>
          <w:p>
            <w:pPr>
              <w:widowControl/>
              <w:spacing w:after="0"/>
            </w:pPr>
            <w:r>
              <w:rPr>
                <w:rFonts w:ascii="Calibri" w:hAnsi="Calibri"/>
                <w:b w:val="0"/>
                <w:i w:val="0"/>
                <w:color w:val="172B4D"/>
                <w:sz w:val="18"/>
              </w:rPr>
              <w:t>Narrative</w:t>
            </w:r>
          </w:p>
        </w:tc>
        <w:tc>
          <w:tcPr>
            <w:tcW w:type="dxa" w:w="7560"/>
          </w:tcPr>
          <w:p>
            <w:pPr>
              <w:widowControl/>
              <w:spacing w:after="0"/>
            </w:pPr>
            <w:r>
              <w:rPr>
                <w:rFonts w:ascii="Calibri" w:hAnsi="Calibri"/>
                <w:b w:val="0"/>
                <w:i w:val="0"/>
                <w:color w:val="172B4D"/>
                <w:sz w:val="18"/>
              </w:rPr>
              <w:t>A recurring claim, frame or storyline connecting multiple content items.</w:t>
            </w:r>
          </w:p>
        </w:tc>
      </w:tr>
      <w:tr>
        <w:tc>
          <w:tcPr>
            <w:tcW w:type="dxa" w:w="1800"/>
          </w:tcPr>
          <w:p>
            <w:pPr>
              <w:widowControl/>
              <w:spacing w:after="0"/>
            </w:pPr>
            <w:r>
              <w:rPr>
                <w:rFonts w:ascii="Calibri" w:hAnsi="Calibri"/>
                <w:b w:val="0"/>
                <w:i w:val="0"/>
                <w:color w:val="172B4D"/>
                <w:sz w:val="18"/>
              </w:rPr>
              <w:t>Canonical item</w:t>
            </w:r>
          </w:p>
        </w:tc>
        <w:tc>
          <w:tcPr>
            <w:tcW w:type="dxa" w:w="7560"/>
          </w:tcPr>
          <w:p>
            <w:pPr>
              <w:widowControl/>
              <w:spacing w:after="0"/>
            </w:pPr>
            <w:r>
              <w:rPr>
                <w:rFonts w:ascii="Calibri" w:hAnsi="Calibri"/>
                <w:b w:val="0"/>
                <w:i w:val="0"/>
                <w:color w:val="172B4D"/>
                <w:sz w:val="18"/>
              </w:rPr>
              <w:t>The platform’s normalised representation of a source record, preserving provenance and source-specific fields.</w:t>
            </w:r>
          </w:p>
        </w:tc>
      </w:tr>
      <w:tr>
        <w:tc>
          <w:tcPr>
            <w:tcW w:type="dxa" w:w="1800"/>
          </w:tcPr>
          <w:p>
            <w:pPr>
              <w:widowControl/>
              <w:spacing w:after="0"/>
            </w:pPr>
            <w:r>
              <w:rPr>
                <w:rFonts w:ascii="Calibri" w:hAnsi="Calibri"/>
                <w:b w:val="0"/>
                <w:i w:val="0"/>
                <w:color w:val="172B4D"/>
                <w:sz w:val="18"/>
              </w:rPr>
              <w:t>Evidence bundle</w:t>
            </w:r>
          </w:p>
        </w:tc>
        <w:tc>
          <w:tcPr>
            <w:tcW w:type="dxa" w:w="7560"/>
          </w:tcPr>
          <w:p>
            <w:pPr>
              <w:widowControl/>
              <w:spacing w:after="0"/>
            </w:pPr>
            <w:r>
              <w:rPr>
                <w:rFonts w:ascii="Calibri" w:hAnsi="Calibri"/>
                <w:b w:val="0"/>
                <w:i w:val="0"/>
                <w:color w:val="172B4D"/>
                <w:sz w:val="18"/>
              </w:rPr>
              <w:t>A governed export joining source material, internal decisions, content versions, approvals, actions and outcome metrics.</w:t>
            </w:r>
          </w:p>
        </w:tc>
      </w:tr>
      <w:tr>
        <w:tc>
          <w:tcPr>
            <w:tcW w:type="dxa" w:w="1800"/>
          </w:tcPr>
          <w:p>
            <w:pPr>
              <w:widowControl/>
              <w:spacing w:after="0"/>
            </w:pPr>
            <w:r>
              <w:rPr>
                <w:rFonts w:ascii="Calibri" w:hAnsi="Calibri"/>
                <w:b w:val="0"/>
                <w:i w:val="0"/>
                <w:color w:val="172B4D"/>
                <w:sz w:val="18"/>
              </w:rPr>
              <w:t>Legal hold</w:t>
            </w:r>
          </w:p>
        </w:tc>
        <w:tc>
          <w:tcPr>
            <w:tcW w:type="dxa" w:w="7560"/>
          </w:tcPr>
          <w:p>
            <w:pPr>
              <w:widowControl/>
              <w:spacing w:after="0"/>
            </w:pPr>
            <w:r>
              <w:rPr>
                <w:rFonts w:ascii="Calibri" w:hAnsi="Calibri"/>
                <w:b w:val="0"/>
                <w:i w:val="0"/>
                <w:color w:val="172B4D"/>
                <w:sz w:val="18"/>
              </w:rPr>
              <w:t>A policy that suspends deletion of specified records for an investigation, dispute or legal obligation.</w:t>
            </w:r>
          </w:p>
        </w:tc>
      </w:tr>
      <w:tr>
        <w:tc>
          <w:tcPr>
            <w:tcW w:type="dxa" w:w="1800"/>
          </w:tcPr>
          <w:p>
            <w:pPr>
              <w:widowControl/>
              <w:spacing w:after="0"/>
            </w:pPr>
            <w:r>
              <w:rPr>
                <w:rFonts w:ascii="Calibri" w:hAnsi="Calibri"/>
                <w:b w:val="0"/>
                <w:i w:val="0"/>
                <w:color w:val="172B4D"/>
                <w:sz w:val="18"/>
              </w:rPr>
              <w:t>Tombstone</w:t>
            </w:r>
          </w:p>
        </w:tc>
        <w:tc>
          <w:tcPr>
            <w:tcW w:type="dxa" w:w="7560"/>
          </w:tcPr>
          <w:p>
            <w:pPr>
              <w:widowControl/>
              <w:spacing w:after="0"/>
            </w:pPr>
            <w:r>
              <w:rPr>
                <w:rFonts w:ascii="Calibri" w:hAnsi="Calibri"/>
                <w:b w:val="0"/>
                <w:i w:val="0"/>
                <w:color w:val="172B4D"/>
                <w:sz w:val="18"/>
              </w:rPr>
              <w:t>A minimal record showing that an item existed and was removed, while preserving permitted audit metadata.</w:t>
            </w:r>
          </w:p>
        </w:tc>
      </w:tr>
    </w:tbl>
    <w:p>
      <w:pPr>
        <w:widowControl/>
        <w:spacing w:after="0"/>
      </w:pP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b w:val="0"/>
        <w:i w:val="0"/>
        <w:color w:val="667085"/>
        <w:sz w:val="17"/>
      </w:rPr>
      <w:t xml:space="preserve">CONFIDENTIAL  •  MIND INTERACTIVE  |  </w:t>
    </w:r>
    <w:r>
      <w:rPr>
        <w:rFonts w:ascii="Calibri" w:hAnsi="Calibri"/>
        <w:b w:val="0"/>
        <w:i w:val="0"/>
        <w:color w:val="667085"/>
        <w:sz w:val="18"/>
      </w:rPr>
      <w:fldChar w:fldCharType="begin"/>
      <w:instrText xml:space="preserve">PAGE</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Bdr>
        <w:bottom w:val="single" w:sz="5" w:space="3" w:color="D0D5DD"/>
      </w:pBdr>
    </w:pPr>
    <w:r>
      <w:rPr>
        <w:rFonts w:ascii="Calibri" w:hAnsi="Calibri"/>
        <w:b/>
        <w:i w:val="0"/>
        <w:color w:val="667085"/>
        <w:sz w:val="17"/>
      </w:rPr>
      <w:t>MI-INSITE | PRODUCT BRIEF</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7"/>
    <w:lvlOverride w:ilvl="0">
      <w:startOverride w:val="1"/>
    </w:lvlOverride>
  </w:num>
  <w:num w:numId="11">
    <w:abstractNumId w:val="7"/>
    <w:lvlOverride w:ilvl="0">
      <w:startOverride w:val="1"/>
    </w:lvlOverride>
  </w:num>
  <w:num w:numId="12">
    <w:abstractNumId w:val="7"/>
    <w:lvlOverride w:ilvl="0">
      <w:startOverride w:val="1"/>
    </w:lvlOverride>
  </w:num>
  <w:num w:numId="13">
    <w:abstractNumId w:val="7"/>
    <w:lvlOverride w:ilvl="0">
      <w:startOverride w:val="1"/>
    </w:lvlOverride>
  </w:num>
  <w:num w:numId="14">
    <w:abstractNumId w:val="7"/>
    <w:lvlOverride w:ilvl="0">
      <w:startOverride w:val="1"/>
    </w:lvlOverride>
  </w:num>
  <w:num w:numId="15">
    <w:abstractNumId w:val="7"/>
    <w:lvlOverride w:ilvl="0">
      <w:startOverride w:val="1"/>
    </w:lvlOverride>
  </w:num>
  <w:num w:numId="16">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72B4D"/>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60" w:line="280" w:lineRule="auto"/>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60" w:line="280" w:lineRule="auto"/>
      <w:ind w:left="720" w:hanging="360"/>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ptionSmall">
    <w:name w:val="Caption Small"/>
    <w:basedOn w:val="Normal"/>
    <w:pPr>
      <w:spacing w:before="80" w:after="160"/>
    </w:pPr>
    <w:rPr>
      <w:rFonts w:ascii="Calibri" w:hAnsi="Calibri"/>
      <w:i/>
      <w:color w:val="667085"/>
      <w:sz w:val="18"/>
    </w:rPr>
  </w:style>
  <w:style w:type="paragraph" w:customStyle="1" w:styleId="SourceText">
    <w:name w:val="Source Text"/>
    <w:basedOn w:val="Normal"/>
    <w:pPr>
      <w:spacing w:before="80" w:after="80"/>
    </w:pPr>
    <w:rPr>
      <w:rFonts w:ascii="Calibri" w:hAnsi="Calibri"/>
      <w:color w:val="667085"/>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hyperlink" Target="https://www.brandwatch.com/products/consumer-research/" TargetMode="External"/><Relationship Id="rId14" Type="http://schemas.openxmlformats.org/officeDocument/2006/relationships/hyperlink" Target="https://www.brandwatch.com/suite/consumer-intelligence/" TargetMode="External"/><Relationship Id="rId15" Type="http://schemas.openxmlformats.org/officeDocument/2006/relationships/hyperlink" Target="https://influence-help.brandwatch.com/en/articles/12414694-overview-of-social-media-management-smm" TargetMode="External"/><Relationship Id="rId16" Type="http://schemas.openxmlformats.org/officeDocument/2006/relationships/hyperlink" Target="https://www.brandwatch.com/p/iris-ai-suite/" TargetMode="External"/><Relationship Id="rId17" Type="http://schemas.openxmlformats.org/officeDocument/2006/relationships/hyperlink" Target="https://www.meltwater.com/en" TargetMode="External"/><Relationship Id="rId18" Type="http://schemas.openxmlformats.org/officeDocument/2006/relationships/hyperlink" Target="https://www.meltwater.com/en/products/media-monitoring" TargetMode="External"/><Relationship Id="rId19" Type="http://schemas.openxmlformats.org/officeDocument/2006/relationships/hyperlink" Target="https://www.meltwater.com/en/capabilities/social-listening" TargetMode="External"/><Relationship Id="rId20" Type="http://schemas.openxmlformats.org/officeDocument/2006/relationships/hyperlink" Target="https://www.meltwater.com/en/products/media-database" TargetMode="External"/><Relationship Id="rId21" Type="http://schemas.openxmlformats.org/officeDocument/2006/relationships/hyperlink" Target="https://www.meltwater.com/en/products/pr-reporting" TargetMode="External"/><Relationship Id="rId22" Type="http://schemas.openxmlformats.org/officeDocument/2006/relationships/hyperlink" Target="https://www.meltwater.com/de/products/social-media-engagement" TargetMode="External"/><Relationship Id="rId23" Type="http://schemas.openxmlformats.org/officeDocument/2006/relationships/hyperlink" Target="https://learn.microsoft.com/en-us/linkedin/marketing/community-management/shares/posts-api" TargetMode="External"/><Relationship Id="rId24" Type="http://schemas.openxmlformats.org/officeDocument/2006/relationships/hyperlink" Target="https://developers.tiktok.com/" TargetMode="External"/><Relationship Id="rId25" Type="http://schemas.openxmlformats.org/officeDocument/2006/relationships/hyperlink" Target="https://www.g2.com/products/brandwatch-consumer-intelligence/reviews" TargetMode="External"/><Relationship Id="rId26" Type="http://schemas.openxmlformats.org/officeDocument/2006/relationships/hyperlink" Target="https://www.g2.com/products/meltwater/revi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Mi-Insite Product Design and Functional Brief</dc:title>
  <dc:subject>Best-of-both media intelligence, social management, archiving and reporting product brief</dc:subject>
  <dc:creator>Mind Interactive</dc:creator>
  <cp:keywords>Mi-Insite, media monitoring, social listening, Brandwatch, Meltwater, product brief</cp:keywords>
  <dc:description>Research current to 28 July 2026.</dc:description>
  <cp:lastModifiedBy/>
  <cp:revision>1</cp:revision>
  <dcterms:created xsi:type="dcterms:W3CDTF">2013-12-23T23:15:00Z</dcterms:created>
  <dcterms:modified xsi:type="dcterms:W3CDTF">2013-12-23T23:15:00Z</dcterms:modified>
  <cp:category/>
</cp:coreProperties>
</file>